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045C" w14:textId="63742B9E" w:rsidR="009B446A" w:rsidRPr="00623C83" w:rsidRDefault="009B446A" w:rsidP="007833C2">
      <w:pPr>
        <w:rPr>
          <w:rFonts w:ascii="Gotham Book" w:hAnsi="Gotham Book"/>
          <w:b/>
          <w:bCs/>
          <w:sz w:val="20"/>
          <w:szCs w:val="20"/>
          <w:u w:val="single"/>
        </w:rPr>
      </w:pPr>
      <w:r w:rsidRPr="00623C83">
        <w:rPr>
          <w:rFonts w:ascii="Gotham Book" w:hAnsi="Gotham Book"/>
          <w:b/>
          <w:bCs/>
          <w:sz w:val="20"/>
          <w:szCs w:val="20"/>
          <w:u w:val="single"/>
        </w:rPr>
        <w:t>Summary</w:t>
      </w:r>
    </w:p>
    <w:p w14:paraId="4A900CCD" w14:textId="43E0074A" w:rsidR="009B446A" w:rsidRPr="00623C83" w:rsidRDefault="009B446A" w:rsidP="007833C2">
      <w:pPr>
        <w:rPr>
          <w:rFonts w:ascii="Gotham Book" w:hAnsi="Gotham Book" w:cs="Arial"/>
          <w:sz w:val="20"/>
          <w:szCs w:val="20"/>
        </w:rPr>
      </w:pPr>
      <w:r w:rsidRPr="00623C83">
        <w:rPr>
          <w:rFonts w:ascii="Gotham Book" w:hAnsi="Gotham Book" w:cs="Arial"/>
          <w:sz w:val="20"/>
          <w:szCs w:val="20"/>
        </w:rPr>
        <w:t>This bill improve</w:t>
      </w:r>
      <w:r w:rsidR="0012413A">
        <w:rPr>
          <w:rFonts w:ascii="Gotham Book" w:hAnsi="Gotham Book" w:cs="Arial"/>
          <w:sz w:val="20"/>
          <w:szCs w:val="20"/>
        </w:rPr>
        <w:t>s</w:t>
      </w:r>
      <w:r w:rsidRPr="00623C83">
        <w:rPr>
          <w:rFonts w:ascii="Gotham Book" w:hAnsi="Gotham Book" w:cs="Arial"/>
          <w:sz w:val="20"/>
          <w:szCs w:val="20"/>
        </w:rPr>
        <w:t xml:space="preserve"> Adult Protective Services (APS) financial abuse</w:t>
      </w:r>
      <w:r w:rsidR="0012413A">
        <w:rPr>
          <w:rFonts w:ascii="Gotham Book" w:hAnsi="Gotham Book" w:cs="Arial"/>
          <w:sz w:val="20"/>
          <w:szCs w:val="20"/>
        </w:rPr>
        <w:t xml:space="preserve"> </w:t>
      </w:r>
      <w:r w:rsidRPr="00623C83">
        <w:rPr>
          <w:rFonts w:ascii="Gotham Book" w:hAnsi="Gotham Book" w:cs="Arial"/>
          <w:sz w:val="20"/>
          <w:szCs w:val="20"/>
        </w:rPr>
        <w:t>investigations</w:t>
      </w:r>
      <w:r w:rsidR="00A54C73">
        <w:rPr>
          <w:rFonts w:ascii="Gotham Book" w:hAnsi="Gotham Book" w:cs="Arial"/>
          <w:sz w:val="20"/>
          <w:szCs w:val="20"/>
        </w:rPr>
        <w:t xml:space="preserve"> and better protects the assets of California’s growing population of</w:t>
      </w:r>
      <w:r w:rsidR="00CE03E6">
        <w:rPr>
          <w:rFonts w:ascii="Gotham Book" w:hAnsi="Gotham Book" w:cs="Arial"/>
          <w:sz w:val="20"/>
          <w:szCs w:val="20"/>
        </w:rPr>
        <w:t xml:space="preserve"> </w:t>
      </w:r>
      <w:r w:rsidR="00A54C73">
        <w:rPr>
          <w:rFonts w:ascii="Gotham Book" w:hAnsi="Gotham Book" w:cs="Arial"/>
          <w:sz w:val="20"/>
          <w:szCs w:val="20"/>
        </w:rPr>
        <w:t>older and dependent adults</w:t>
      </w:r>
      <w:r w:rsidR="00920CA8" w:rsidRPr="00623C83">
        <w:rPr>
          <w:rFonts w:ascii="Gotham Book" w:hAnsi="Gotham Book" w:cs="Arial"/>
          <w:sz w:val="20"/>
          <w:szCs w:val="20"/>
        </w:rPr>
        <w:t xml:space="preserve"> by</w:t>
      </w:r>
      <w:r w:rsidR="00A54C73">
        <w:rPr>
          <w:rFonts w:ascii="Gotham Book" w:hAnsi="Gotham Book" w:cs="Arial"/>
          <w:sz w:val="20"/>
          <w:szCs w:val="20"/>
        </w:rPr>
        <w:t>:</w:t>
      </w:r>
      <w:r w:rsidR="00920CA8" w:rsidRPr="00623C83">
        <w:rPr>
          <w:rFonts w:ascii="Gotham Book" w:hAnsi="Gotham Book" w:cs="Arial"/>
          <w:sz w:val="20"/>
          <w:szCs w:val="20"/>
        </w:rPr>
        <w:t xml:space="preserve"> </w:t>
      </w:r>
      <w:r w:rsidR="00A54C73">
        <w:rPr>
          <w:rFonts w:ascii="Gotham Book" w:hAnsi="Gotham Book" w:cs="Arial"/>
          <w:sz w:val="20"/>
          <w:szCs w:val="20"/>
        </w:rPr>
        <w:t xml:space="preserve">(1) </w:t>
      </w:r>
      <w:r w:rsidR="00920CA8" w:rsidRPr="00623C83">
        <w:rPr>
          <w:rFonts w:ascii="Gotham Book" w:hAnsi="Gotham Book" w:cs="Arial"/>
          <w:sz w:val="20"/>
          <w:szCs w:val="20"/>
        </w:rPr>
        <w:t xml:space="preserve">simplifying criteria to </w:t>
      </w:r>
      <w:r w:rsidRPr="00623C83">
        <w:rPr>
          <w:rFonts w:ascii="Gotham Book" w:hAnsi="Gotham Book" w:cs="Arial"/>
          <w:sz w:val="20"/>
          <w:szCs w:val="20"/>
        </w:rPr>
        <w:t>access financial records</w:t>
      </w:r>
      <w:r w:rsidR="00920CA8" w:rsidRPr="00623C83">
        <w:rPr>
          <w:rFonts w:ascii="Gotham Book" w:hAnsi="Gotham Book" w:cs="Arial"/>
          <w:sz w:val="20"/>
          <w:szCs w:val="20"/>
        </w:rPr>
        <w:t>,</w:t>
      </w:r>
      <w:r w:rsidRPr="00623C83">
        <w:rPr>
          <w:rFonts w:ascii="Gotham Book" w:hAnsi="Gotham Book" w:cs="Arial"/>
          <w:sz w:val="20"/>
          <w:szCs w:val="20"/>
        </w:rPr>
        <w:t xml:space="preserve"> </w:t>
      </w:r>
      <w:r w:rsidR="00A54C73">
        <w:rPr>
          <w:rFonts w:ascii="Gotham Book" w:hAnsi="Gotham Book" w:cs="Arial"/>
          <w:sz w:val="20"/>
          <w:szCs w:val="20"/>
        </w:rPr>
        <w:t xml:space="preserve">(2) </w:t>
      </w:r>
      <w:r w:rsidRPr="00623C83">
        <w:rPr>
          <w:rFonts w:ascii="Gotham Book" w:hAnsi="Gotham Book" w:cs="Arial"/>
          <w:sz w:val="20"/>
          <w:szCs w:val="20"/>
        </w:rPr>
        <w:t xml:space="preserve">extending the </w:t>
      </w:r>
      <w:r w:rsidR="00A54C73">
        <w:rPr>
          <w:rFonts w:ascii="Gotham Book" w:hAnsi="Gotham Book" w:cs="Arial"/>
          <w:sz w:val="20"/>
          <w:szCs w:val="20"/>
        </w:rPr>
        <w:t>time frame of accessible records</w:t>
      </w:r>
      <w:r w:rsidR="00920CA8" w:rsidRPr="00623C83">
        <w:rPr>
          <w:rFonts w:ascii="Gotham Book" w:hAnsi="Gotham Book" w:cs="Arial"/>
          <w:sz w:val="20"/>
          <w:szCs w:val="20"/>
        </w:rPr>
        <w:t xml:space="preserve">, and </w:t>
      </w:r>
      <w:r w:rsidR="00A54C73">
        <w:rPr>
          <w:rFonts w:ascii="Gotham Book" w:hAnsi="Gotham Book" w:cs="Arial"/>
          <w:sz w:val="20"/>
          <w:szCs w:val="20"/>
        </w:rPr>
        <w:t xml:space="preserve">(3) </w:t>
      </w:r>
      <w:r w:rsidR="00920CA8" w:rsidRPr="00623C83">
        <w:rPr>
          <w:rFonts w:ascii="Gotham Book" w:hAnsi="Gotham Book" w:cs="Arial"/>
          <w:sz w:val="20"/>
          <w:szCs w:val="20"/>
        </w:rPr>
        <w:t xml:space="preserve">expanding the information APS can </w:t>
      </w:r>
      <w:r w:rsidR="00A54C73">
        <w:rPr>
          <w:rFonts w:ascii="Gotham Book" w:hAnsi="Gotham Book" w:cs="Arial"/>
          <w:sz w:val="20"/>
          <w:szCs w:val="20"/>
        </w:rPr>
        <w:t>receive</w:t>
      </w:r>
      <w:r w:rsidR="00920CA8" w:rsidRPr="00623C83">
        <w:rPr>
          <w:rFonts w:ascii="Gotham Book" w:hAnsi="Gotham Book" w:cs="Arial"/>
          <w:sz w:val="20"/>
          <w:szCs w:val="20"/>
        </w:rPr>
        <w:t>.</w:t>
      </w:r>
      <w:r w:rsidR="006D4C5F">
        <w:rPr>
          <w:rFonts w:ascii="Gotham Book" w:hAnsi="Gotham Book" w:cs="Arial"/>
          <w:sz w:val="20"/>
          <w:szCs w:val="20"/>
        </w:rPr>
        <w:t xml:space="preserve"> </w:t>
      </w:r>
    </w:p>
    <w:p w14:paraId="642CE9E4" w14:textId="77777777" w:rsidR="009B446A" w:rsidRPr="00623C83" w:rsidRDefault="009B446A" w:rsidP="007833C2">
      <w:pPr>
        <w:rPr>
          <w:rFonts w:ascii="Gotham Book" w:hAnsi="Gotham Book" w:cs="Arial"/>
          <w:sz w:val="20"/>
          <w:szCs w:val="20"/>
        </w:rPr>
      </w:pPr>
    </w:p>
    <w:p w14:paraId="1347DE6E" w14:textId="3DBA93A8" w:rsidR="009B446A" w:rsidRPr="00623C83" w:rsidRDefault="009B446A" w:rsidP="007833C2">
      <w:pPr>
        <w:rPr>
          <w:rFonts w:ascii="Gotham Book" w:hAnsi="Gotham Book" w:cs="Arial"/>
          <w:b/>
          <w:bCs/>
          <w:sz w:val="20"/>
          <w:szCs w:val="20"/>
          <w:u w:val="single"/>
        </w:rPr>
      </w:pPr>
      <w:r w:rsidRPr="00623C83">
        <w:rPr>
          <w:rFonts w:ascii="Gotham Book" w:hAnsi="Gotham Book" w:cs="Arial"/>
          <w:b/>
          <w:bCs/>
          <w:sz w:val="20"/>
          <w:szCs w:val="20"/>
          <w:u w:val="single"/>
        </w:rPr>
        <w:t>Existing Law</w:t>
      </w:r>
    </w:p>
    <w:p w14:paraId="5D83AEE4" w14:textId="0028887D" w:rsidR="00CF0721" w:rsidRPr="00623C83" w:rsidRDefault="00A54C73" w:rsidP="007833C2">
      <w:pPr>
        <w:rPr>
          <w:rFonts w:ascii="Gotham Book" w:hAnsi="Gotham Book" w:cs="Arial"/>
          <w:sz w:val="20"/>
          <w:szCs w:val="20"/>
        </w:rPr>
      </w:pPr>
      <w:r>
        <w:rPr>
          <w:rFonts w:ascii="Gotham Book" w:hAnsi="Gotham Book" w:cs="Arial"/>
          <w:sz w:val="20"/>
          <w:szCs w:val="20"/>
        </w:rPr>
        <w:t xml:space="preserve">County APS investigators are granted access to certain financial records under current law. However, </w:t>
      </w:r>
      <w:r w:rsidR="000F2889" w:rsidRPr="00623C83">
        <w:rPr>
          <w:rFonts w:ascii="Gotham Book" w:hAnsi="Gotham Book" w:cs="Arial"/>
          <w:sz w:val="20"/>
          <w:szCs w:val="20"/>
        </w:rPr>
        <w:t xml:space="preserve">a law enforcement agency, district attorney or special agent of the Department of Justice </w:t>
      </w:r>
      <w:r>
        <w:rPr>
          <w:rFonts w:ascii="Gotham Book" w:hAnsi="Gotham Book" w:cs="Arial"/>
          <w:sz w:val="20"/>
          <w:szCs w:val="20"/>
        </w:rPr>
        <w:t xml:space="preserve">must first </w:t>
      </w:r>
      <w:r w:rsidR="000F2889" w:rsidRPr="00623C83">
        <w:rPr>
          <w:rFonts w:ascii="Gotham Book" w:hAnsi="Gotham Book" w:cs="Arial"/>
          <w:sz w:val="20"/>
          <w:szCs w:val="20"/>
        </w:rPr>
        <w:t>certify that a crime report has been filed</w:t>
      </w:r>
      <w:r w:rsidR="00572012">
        <w:rPr>
          <w:rFonts w:ascii="Gotham Book" w:hAnsi="Gotham Book" w:cs="Arial"/>
          <w:sz w:val="20"/>
          <w:szCs w:val="20"/>
        </w:rPr>
        <w:t xml:space="preserve"> before APS </w:t>
      </w:r>
      <w:r>
        <w:rPr>
          <w:rFonts w:ascii="Gotham Book" w:hAnsi="Gotham Book" w:cs="Arial"/>
          <w:sz w:val="20"/>
          <w:szCs w:val="20"/>
        </w:rPr>
        <w:t>can</w:t>
      </w:r>
      <w:r w:rsidR="00572012">
        <w:rPr>
          <w:rFonts w:ascii="Gotham Book" w:hAnsi="Gotham Book" w:cs="Arial"/>
          <w:sz w:val="20"/>
          <w:szCs w:val="20"/>
        </w:rPr>
        <w:t xml:space="preserve"> access</w:t>
      </w:r>
      <w:r w:rsidR="00A01444">
        <w:rPr>
          <w:rFonts w:ascii="Gotham Book" w:hAnsi="Gotham Book" w:cs="Arial"/>
          <w:sz w:val="20"/>
          <w:szCs w:val="20"/>
        </w:rPr>
        <w:t xml:space="preserve"> </w:t>
      </w:r>
      <w:r>
        <w:rPr>
          <w:rFonts w:ascii="Gotham Book" w:hAnsi="Gotham Book" w:cs="Arial"/>
          <w:sz w:val="20"/>
          <w:szCs w:val="20"/>
        </w:rPr>
        <w:t xml:space="preserve">the </w:t>
      </w:r>
      <w:r w:rsidR="00A01444">
        <w:rPr>
          <w:rFonts w:ascii="Gotham Book" w:hAnsi="Gotham Book" w:cs="Arial"/>
          <w:sz w:val="20"/>
          <w:szCs w:val="20"/>
        </w:rPr>
        <w:t xml:space="preserve">information of a potential victim of </w:t>
      </w:r>
      <w:r w:rsidR="003063C2">
        <w:rPr>
          <w:rFonts w:ascii="Gotham Book" w:hAnsi="Gotham Book" w:cs="Arial"/>
          <w:sz w:val="20"/>
          <w:szCs w:val="20"/>
        </w:rPr>
        <w:t>abuse</w:t>
      </w:r>
      <w:r w:rsidR="00920CA8" w:rsidRPr="00623C83">
        <w:rPr>
          <w:rFonts w:ascii="Gotham Book" w:hAnsi="Gotham Book" w:cs="Arial"/>
          <w:sz w:val="20"/>
          <w:szCs w:val="20"/>
        </w:rPr>
        <w:t>. This typically requires APS</w:t>
      </w:r>
      <w:r w:rsidR="00CF0721" w:rsidRPr="00623C83">
        <w:rPr>
          <w:rFonts w:ascii="Gotham Book" w:hAnsi="Gotham Book" w:cs="Arial"/>
          <w:sz w:val="20"/>
          <w:szCs w:val="20"/>
        </w:rPr>
        <w:t>, once notified of alleged financial abuse from a mandated reporter,</w:t>
      </w:r>
      <w:r w:rsidR="00920CA8" w:rsidRPr="00623C83">
        <w:rPr>
          <w:rFonts w:ascii="Gotham Book" w:hAnsi="Gotham Book" w:cs="Arial"/>
          <w:sz w:val="20"/>
          <w:szCs w:val="20"/>
        </w:rPr>
        <w:t xml:space="preserve"> to file a police report prior to </w:t>
      </w:r>
      <w:r w:rsidR="001E73C8">
        <w:rPr>
          <w:rFonts w:ascii="Gotham Book" w:hAnsi="Gotham Book" w:cs="Arial"/>
          <w:sz w:val="20"/>
          <w:szCs w:val="20"/>
        </w:rPr>
        <w:t xml:space="preserve">submitting a request to a bank or financial institution </w:t>
      </w:r>
      <w:r w:rsidR="003063C2">
        <w:rPr>
          <w:rFonts w:ascii="Gotham Book" w:hAnsi="Gotham Book" w:cs="Arial"/>
          <w:sz w:val="20"/>
          <w:szCs w:val="20"/>
        </w:rPr>
        <w:t>for</w:t>
      </w:r>
      <w:r w:rsidR="00920CA8" w:rsidRPr="00623C83">
        <w:rPr>
          <w:rFonts w:ascii="Gotham Book" w:hAnsi="Gotham Book" w:cs="Arial"/>
          <w:sz w:val="20"/>
          <w:szCs w:val="20"/>
        </w:rPr>
        <w:t xml:space="preserve"> </w:t>
      </w:r>
      <w:r w:rsidR="00F16611" w:rsidRPr="00623C83">
        <w:rPr>
          <w:rFonts w:ascii="Gotham Book" w:hAnsi="Gotham Book" w:cs="Arial"/>
          <w:sz w:val="20"/>
          <w:szCs w:val="20"/>
        </w:rPr>
        <w:t xml:space="preserve">access to </w:t>
      </w:r>
      <w:r w:rsidR="00920CA8" w:rsidRPr="00623C83">
        <w:rPr>
          <w:rFonts w:ascii="Gotham Book" w:hAnsi="Gotham Book" w:cs="Arial"/>
          <w:sz w:val="20"/>
          <w:szCs w:val="20"/>
        </w:rPr>
        <w:t>an individual’s financial records</w:t>
      </w:r>
      <w:r w:rsidR="00CF0721" w:rsidRPr="00623C83">
        <w:rPr>
          <w:rFonts w:ascii="Gotham Book" w:hAnsi="Gotham Book" w:cs="Arial"/>
          <w:sz w:val="20"/>
          <w:szCs w:val="20"/>
        </w:rPr>
        <w:t>.</w:t>
      </w:r>
      <w:r w:rsidR="00CF0721" w:rsidRPr="00623C83">
        <w:rPr>
          <w:rStyle w:val="FootnoteReference"/>
          <w:rFonts w:ascii="Gotham Book" w:hAnsi="Gotham Book" w:cs="Arial"/>
          <w:sz w:val="20"/>
          <w:szCs w:val="20"/>
        </w:rPr>
        <w:footnoteReference w:id="1"/>
      </w:r>
      <w:r w:rsidR="00E05DCE" w:rsidRPr="00623C83">
        <w:rPr>
          <w:rFonts w:ascii="Gotham Book" w:hAnsi="Gotham Book" w:cs="Arial"/>
          <w:sz w:val="20"/>
          <w:szCs w:val="20"/>
        </w:rPr>
        <w:t xml:space="preserve"> </w:t>
      </w:r>
    </w:p>
    <w:p w14:paraId="3B24B5EF" w14:textId="0A645C9B" w:rsidR="00CF0721" w:rsidRPr="00623C83" w:rsidRDefault="00CF0721" w:rsidP="007833C2">
      <w:pPr>
        <w:rPr>
          <w:rFonts w:ascii="Gotham Book" w:hAnsi="Gotham Book" w:cs="Arial"/>
          <w:sz w:val="20"/>
          <w:szCs w:val="20"/>
        </w:rPr>
      </w:pPr>
    </w:p>
    <w:p w14:paraId="45D96352" w14:textId="2B0F6190" w:rsidR="00CF0721" w:rsidRPr="00623C83" w:rsidRDefault="00CF0721" w:rsidP="007833C2">
      <w:pPr>
        <w:rPr>
          <w:rFonts w:ascii="Gotham Book" w:hAnsi="Gotham Book" w:cs="Arial"/>
          <w:sz w:val="20"/>
          <w:szCs w:val="20"/>
        </w:rPr>
      </w:pPr>
      <w:r w:rsidRPr="00623C83">
        <w:rPr>
          <w:rFonts w:ascii="Gotham Book" w:hAnsi="Gotham Book" w:cs="Arial"/>
          <w:sz w:val="20"/>
          <w:szCs w:val="20"/>
        </w:rPr>
        <w:t xml:space="preserve">Existing law also limits APS investigators’ access to </w:t>
      </w:r>
      <w:r w:rsidR="00E10850">
        <w:rPr>
          <w:rFonts w:ascii="Gotham Book" w:hAnsi="Gotham Book" w:cs="Arial"/>
          <w:sz w:val="20"/>
          <w:szCs w:val="20"/>
        </w:rPr>
        <w:t xml:space="preserve">only </w:t>
      </w:r>
      <w:r w:rsidRPr="00623C83">
        <w:rPr>
          <w:rFonts w:ascii="Gotham Book" w:hAnsi="Gotham Book" w:cs="Arial"/>
          <w:sz w:val="20"/>
          <w:szCs w:val="20"/>
        </w:rPr>
        <w:t>financial records dating from a period of 30 days before and after the date of any alleged illegal activity</w:t>
      </w:r>
      <w:r w:rsidR="00A54C73">
        <w:rPr>
          <w:rFonts w:ascii="Gotham Book" w:hAnsi="Gotham Book" w:cs="Arial"/>
          <w:sz w:val="20"/>
          <w:szCs w:val="20"/>
        </w:rPr>
        <w:t xml:space="preserve"> (60 days total)</w:t>
      </w:r>
      <w:r w:rsidRPr="00623C83">
        <w:rPr>
          <w:rFonts w:ascii="Gotham Book" w:hAnsi="Gotham Book" w:cs="Arial"/>
          <w:sz w:val="20"/>
          <w:szCs w:val="20"/>
        </w:rPr>
        <w:t xml:space="preserve">. The law </w:t>
      </w:r>
      <w:r w:rsidR="00A54C73">
        <w:rPr>
          <w:rFonts w:ascii="Gotham Book" w:hAnsi="Gotham Book" w:cs="Arial"/>
          <w:sz w:val="20"/>
          <w:szCs w:val="20"/>
        </w:rPr>
        <w:t>further specifies the</w:t>
      </w:r>
      <w:r w:rsidRPr="00623C83">
        <w:rPr>
          <w:rFonts w:ascii="Gotham Book" w:hAnsi="Gotham Book" w:cs="Arial"/>
          <w:sz w:val="20"/>
          <w:szCs w:val="20"/>
        </w:rPr>
        <w:t xml:space="preserve"> types of information that APS can access</w:t>
      </w:r>
      <w:r w:rsidR="00A54C73">
        <w:rPr>
          <w:rFonts w:ascii="Gotham Book" w:hAnsi="Gotham Book" w:cs="Arial"/>
          <w:sz w:val="20"/>
          <w:szCs w:val="20"/>
        </w:rPr>
        <w:t>, including</w:t>
      </w:r>
      <w:r w:rsidR="00F16611" w:rsidRPr="00623C83">
        <w:rPr>
          <w:rFonts w:ascii="Gotham Book" w:hAnsi="Gotham Book" w:cs="Arial"/>
          <w:sz w:val="20"/>
          <w:szCs w:val="20"/>
        </w:rPr>
        <w:t xml:space="preserve"> basic account information and balances, current signatures and addresses, potentially fraudulent transactions and surveillance footage.</w:t>
      </w:r>
      <w:r w:rsidRPr="00623C83">
        <w:rPr>
          <w:rStyle w:val="FootnoteReference"/>
          <w:rFonts w:ascii="Gotham Book" w:hAnsi="Gotham Book" w:cs="Arial"/>
          <w:sz w:val="20"/>
          <w:szCs w:val="20"/>
        </w:rPr>
        <w:footnoteReference w:id="2"/>
      </w:r>
      <w:r w:rsidR="00A54C73">
        <w:rPr>
          <w:rFonts w:ascii="Gotham Book" w:hAnsi="Gotham Book" w:cs="Arial"/>
          <w:sz w:val="20"/>
          <w:szCs w:val="20"/>
        </w:rPr>
        <w:t xml:space="preserve"> </w:t>
      </w:r>
    </w:p>
    <w:p w14:paraId="1FA008DE" w14:textId="77777777" w:rsidR="009B446A" w:rsidRPr="00623C83" w:rsidRDefault="009B446A" w:rsidP="007833C2">
      <w:pPr>
        <w:rPr>
          <w:rFonts w:ascii="Gotham Book" w:hAnsi="Gotham Book" w:cstheme="minorHAnsi"/>
          <w:sz w:val="20"/>
          <w:szCs w:val="20"/>
        </w:rPr>
      </w:pPr>
    </w:p>
    <w:p w14:paraId="5980F82D" w14:textId="0B8D785A" w:rsidR="009B446A" w:rsidRPr="00623C83" w:rsidRDefault="00CE03E6" w:rsidP="007833C2">
      <w:pPr>
        <w:rPr>
          <w:rFonts w:ascii="Gotham Book" w:hAnsi="Gotham Book" w:cstheme="minorHAnsi"/>
          <w:b/>
          <w:bCs/>
          <w:spacing w:val="-4"/>
          <w:sz w:val="20"/>
          <w:szCs w:val="20"/>
          <w:u w:val="single"/>
        </w:rPr>
      </w:pPr>
      <w:r>
        <w:rPr>
          <w:rFonts w:ascii="Gotham Book" w:hAnsi="Gotham Book" w:cstheme="minorHAnsi"/>
          <w:b/>
          <w:bCs/>
          <w:spacing w:val="-4"/>
          <w:sz w:val="20"/>
          <w:szCs w:val="20"/>
          <w:u w:val="single"/>
        </w:rPr>
        <w:t>Requirements Limit Effective Investigations</w:t>
      </w:r>
    </w:p>
    <w:p w14:paraId="4DAE023A" w14:textId="6BA32312" w:rsidR="00E05DCE" w:rsidRPr="00623C83" w:rsidRDefault="00E05DCE" w:rsidP="007833C2">
      <w:pPr>
        <w:rPr>
          <w:rFonts w:ascii="Gotham Book" w:hAnsi="Gotham Book" w:cs="Calibri"/>
          <w:sz w:val="20"/>
          <w:szCs w:val="20"/>
        </w:rPr>
      </w:pPr>
      <w:r w:rsidRPr="00623C83">
        <w:rPr>
          <w:rFonts w:ascii="Gotham Book" w:hAnsi="Gotham Book" w:cs="Calibri"/>
          <w:sz w:val="20"/>
          <w:szCs w:val="20"/>
        </w:rPr>
        <w:t xml:space="preserve">The requirement </w:t>
      </w:r>
      <w:r w:rsidR="00A54C73">
        <w:rPr>
          <w:rFonts w:ascii="Gotham Book" w:hAnsi="Gotham Book" w:cs="Calibri"/>
          <w:sz w:val="20"/>
          <w:szCs w:val="20"/>
        </w:rPr>
        <w:t>to file</w:t>
      </w:r>
      <w:r w:rsidR="00623C83" w:rsidRPr="00623C83">
        <w:rPr>
          <w:rFonts w:ascii="Gotham Book" w:hAnsi="Gotham Book" w:cs="Calibri"/>
          <w:sz w:val="20"/>
          <w:szCs w:val="20"/>
        </w:rPr>
        <w:t xml:space="preserve"> a </w:t>
      </w:r>
      <w:r w:rsidR="00A54C73">
        <w:rPr>
          <w:rFonts w:ascii="Gotham Book" w:hAnsi="Gotham Book" w:cs="Calibri"/>
          <w:sz w:val="20"/>
          <w:szCs w:val="20"/>
        </w:rPr>
        <w:t xml:space="preserve">police </w:t>
      </w:r>
      <w:r w:rsidR="00623C83" w:rsidRPr="00623C83">
        <w:rPr>
          <w:rFonts w:ascii="Gotham Book" w:hAnsi="Gotham Book" w:cs="Calibri"/>
          <w:sz w:val="20"/>
          <w:szCs w:val="20"/>
        </w:rPr>
        <w:t>report</w:t>
      </w:r>
      <w:r w:rsidR="00A54C73">
        <w:rPr>
          <w:rFonts w:ascii="Gotham Book" w:hAnsi="Gotham Book" w:cs="Calibri"/>
          <w:sz w:val="20"/>
          <w:szCs w:val="20"/>
        </w:rPr>
        <w:t xml:space="preserve"> to access records that are needed in order to </w:t>
      </w:r>
      <w:r w:rsidR="00CE03E6">
        <w:rPr>
          <w:rFonts w:ascii="Gotham Book" w:hAnsi="Gotham Book" w:cs="Calibri"/>
          <w:sz w:val="20"/>
          <w:szCs w:val="20"/>
        </w:rPr>
        <w:t>fully</w:t>
      </w:r>
      <w:r w:rsidR="00A54C73">
        <w:rPr>
          <w:rFonts w:ascii="Gotham Book" w:hAnsi="Gotham Book" w:cs="Calibri"/>
          <w:sz w:val="20"/>
          <w:szCs w:val="20"/>
        </w:rPr>
        <w:t xml:space="preserve"> investigate report</w:t>
      </w:r>
      <w:r w:rsidR="00CE03E6">
        <w:rPr>
          <w:rFonts w:ascii="Gotham Book" w:hAnsi="Gotham Book" w:cs="Calibri"/>
          <w:sz w:val="20"/>
          <w:szCs w:val="20"/>
        </w:rPr>
        <w:t>s</w:t>
      </w:r>
      <w:r w:rsidR="00A54C73">
        <w:rPr>
          <w:rFonts w:ascii="Gotham Book" w:hAnsi="Gotham Book" w:cs="Calibri"/>
          <w:sz w:val="20"/>
          <w:szCs w:val="20"/>
        </w:rPr>
        <w:t xml:space="preserve"> of financial abuse </w:t>
      </w:r>
      <w:r w:rsidR="00CE03E6">
        <w:rPr>
          <w:rFonts w:ascii="Gotham Book" w:hAnsi="Gotham Book" w:cs="Calibri"/>
          <w:sz w:val="20"/>
          <w:szCs w:val="20"/>
        </w:rPr>
        <w:t>is</w:t>
      </w:r>
      <w:r w:rsidR="00A54C73">
        <w:rPr>
          <w:rFonts w:ascii="Gotham Book" w:hAnsi="Gotham Book" w:cs="Calibri"/>
          <w:sz w:val="20"/>
          <w:szCs w:val="20"/>
        </w:rPr>
        <w:t xml:space="preserve"> a barrier to access. </w:t>
      </w:r>
      <w:r w:rsidR="00CE03E6">
        <w:rPr>
          <w:rFonts w:ascii="Gotham Book" w:hAnsi="Gotham Book" w:cs="Calibri"/>
          <w:sz w:val="20"/>
          <w:szCs w:val="20"/>
        </w:rPr>
        <w:t>E</w:t>
      </w:r>
      <w:r w:rsidRPr="00623C83">
        <w:rPr>
          <w:rFonts w:ascii="Gotham Book" w:hAnsi="Gotham Book" w:cs="Calibri"/>
          <w:sz w:val="20"/>
          <w:szCs w:val="20"/>
        </w:rPr>
        <w:t xml:space="preserve">ven </w:t>
      </w:r>
      <w:r w:rsidR="00623C83" w:rsidRPr="00623C83">
        <w:rPr>
          <w:rFonts w:ascii="Gotham Book" w:hAnsi="Gotham Book" w:cs="Calibri"/>
          <w:sz w:val="20"/>
          <w:szCs w:val="20"/>
        </w:rPr>
        <w:t>when</w:t>
      </w:r>
      <w:r w:rsidRPr="00623C83">
        <w:rPr>
          <w:rFonts w:ascii="Gotham Book" w:hAnsi="Gotham Book" w:cs="Calibri"/>
          <w:sz w:val="20"/>
          <w:szCs w:val="20"/>
        </w:rPr>
        <w:t xml:space="preserve"> </w:t>
      </w:r>
      <w:r w:rsidR="00623C83" w:rsidRPr="00623C83">
        <w:rPr>
          <w:rFonts w:ascii="Gotham Book" w:hAnsi="Gotham Book" w:cs="Calibri"/>
          <w:sz w:val="20"/>
          <w:szCs w:val="20"/>
        </w:rPr>
        <w:t>APS has reasonable suspicion of abuse</w:t>
      </w:r>
      <w:r w:rsidR="00CE03E6">
        <w:rPr>
          <w:rFonts w:ascii="Gotham Book" w:hAnsi="Gotham Book" w:cs="Calibri"/>
          <w:sz w:val="20"/>
          <w:szCs w:val="20"/>
        </w:rPr>
        <w:t>, a police report must first be filed to proceed further with the investigation</w:t>
      </w:r>
      <w:r w:rsidR="00A54C73">
        <w:rPr>
          <w:rFonts w:ascii="Gotham Book" w:hAnsi="Gotham Book" w:cs="Calibri"/>
          <w:sz w:val="20"/>
          <w:szCs w:val="20"/>
        </w:rPr>
        <w:t>. This requirement makes it more difficult to</w:t>
      </w:r>
      <w:r w:rsidR="00CE03E6">
        <w:rPr>
          <w:rFonts w:ascii="Gotham Book" w:hAnsi="Gotham Book" w:cs="Calibri"/>
          <w:sz w:val="20"/>
          <w:szCs w:val="20"/>
        </w:rPr>
        <w:t xml:space="preserve"> protect </w:t>
      </w:r>
      <w:r w:rsidRPr="00623C83">
        <w:rPr>
          <w:rFonts w:ascii="Gotham Book" w:hAnsi="Gotham Book" w:cs="Calibri"/>
          <w:sz w:val="20"/>
          <w:szCs w:val="20"/>
        </w:rPr>
        <w:t>older and dependent adults</w:t>
      </w:r>
      <w:r w:rsidR="00623C83" w:rsidRPr="00623C83">
        <w:rPr>
          <w:rFonts w:ascii="Gotham Book" w:hAnsi="Gotham Book" w:cs="Calibri"/>
          <w:sz w:val="20"/>
          <w:szCs w:val="20"/>
        </w:rPr>
        <w:t xml:space="preserve"> in a timely manner</w:t>
      </w:r>
      <w:r w:rsidRPr="00623C83">
        <w:rPr>
          <w:rFonts w:ascii="Gotham Book" w:hAnsi="Gotham Book" w:cs="Calibri"/>
          <w:sz w:val="20"/>
          <w:szCs w:val="20"/>
        </w:rPr>
        <w:t xml:space="preserve">. </w:t>
      </w:r>
      <w:r w:rsidR="00A54C73">
        <w:rPr>
          <w:rFonts w:ascii="Gotham Book" w:hAnsi="Gotham Book" w:cs="Calibri"/>
          <w:sz w:val="20"/>
          <w:szCs w:val="20"/>
        </w:rPr>
        <w:t>No</w:t>
      </w:r>
      <w:r w:rsidRPr="00623C83">
        <w:rPr>
          <w:rFonts w:ascii="Gotham Book" w:hAnsi="Gotham Book" w:cs="Calibri"/>
          <w:sz w:val="20"/>
          <w:szCs w:val="20"/>
        </w:rPr>
        <w:t xml:space="preserve"> </w:t>
      </w:r>
      <w:r w:rsidR="00623C83" w:rsidRPr="00623C83">
        <w:rPr>
          <w:rFonts w:ascii="Gotham Book" w:hAnsi="Gotham Book" w:cs="Calibri"/>
          <w:sz w:val="20"/>
          <w:szCs w:val="20"/>
        </w:rPr>
        <w:t>comparable</w:t>
      </w:r>
      <w:r w:rsidRPr="00623C83">
        <w:rPr>
          <w:rFonts w:ascii="Gotham Book" w:hAnsi="Gotham Book" w:cs="Calibri"/>
          <w:sz w:val="20"/>
          <w:szCs w:val="20"/>
        </w:rPr>
        <w:t xml:space="preserve"> requirement </w:t>
      </w:r>
      <w:r w:rsidR="00A54C73">
        <w:rPr>
          <w:rFonts w:ascii="Gotham Book" w:hAnsi="Gotham Book" w:cs="Calibri"/>
          <w:sz w:val="20"/>
          <w:szCs w:val="20"/>
        </w:rPr>
        <w:t>exists</w:t>
      </w:r>
      <w:r w:rsidRPr="00623C83">
        <w:rPr>
          <w:rFonts w:ascii="Gotham Book" w:hAnsi="Gotham Book" w:cs="Calibri"/>
          <w:sz w:val="20"/>
          <w:szCs w:val="20"/>
        </w:rPr>
        <w:t xml:space="preserve"> for the other types of abuse APS is tasked with investigating. </w:t>
      </w:r>
    </w:p>
    <w:p w14:paraId="6F1DDD19" w14:textId="67B80955" w:rsidR="00F16611" w:rsidRPr="00623C83" w:rsidRDefault="00F16611" w:rsidP="007833C2">
      <w:pPr>
        <w:rPr>
          <w:rFonts w:ascii="Gotham Book" w:hAnsi="Gotham Book" w:cs="Calibri"/>
          <w:sz w:val="20"/>
          <w:szCs w:val="20"/>
        </w:rPr>
      </w:pPr>
    </w:p>
    <w:p w14:paraId="55A41FFF" w14:textId="2735A3D1" w:rsidR="00623C83" w:rsidRPr="00623C83" w:rsidRDefault="00CE03E6" w:rsidP="007833C2">
      <w:pPr>
        <w:rPr>
          <w:rFonts w:ascii="Gotham Book" w:hAnsi="Gotham Book" w:cs="Calibri"/>
          <w:sz w:val="20"/>
          <w:szCs w:val="20"/>
        </w:rPr>
      </w:pPr>
      <w:r>
        <w:rPr>
          <w:rFonts w:ascii="Gotham Book" w:hAnsi="Gotham Book" w:cs="Calibri"/>
          <w:sz w:val="20"/>
          <w:szCs w:val="20"/>
        </w:rPr>
        <w:t>A</w:t>
      </w:r>
      <w:r w:rsidR="00F16611" w:rsidRPr="00F16611">
        <w:rPr>
          <w:rFonts w:ascii="Gotham Book" w:hAnsi="Gotham Book" w:cs="Calibri"/>
          <w:sz w:val="20"/>
          <w:szCs w:val="20"/>
        </w:rPr>
        <w:t xml:space="preserve"> thorough financial abuse investigation requires that an investigator be able to identify normal spending habits of the alleged victim over a period of time</w:t>
      </w:r>
      <w:r w:rsidR="00F16611" w:rsidRPr="00623C83">
        <w:rPr>
          <w:rFonts w:ascii="Gotham Book" w:hAnsi="Gotham Book" w:cs="Calibri"/>
          <w:sz w:val="20"/>
          <w:szCs w:val="20"/>
        </w:rPr>
        <w:t xml:space="preserve">. </w:t>
      </w:r>
      <w:r w:rsidR="00F16611" w:rsidRPr="00F16611">
        <w:rPr>
          <w:rFonts w:ascii="Gotham Book" w:hAnsi="Gotham Book" w:cs="Calibri"/>
          <w:sz w:val="20"/>
          <w:szCs w:val="20"/>
        </w:rPr>
        <w:t>The</w:t>
      </w:r>
      <w:r>
        <w:rPr>
          <w:rFonts w:ascii="Gotham Book" w:hAnsi="Gotham Book" w:cs="Calibri"/>
          <w:sz w:val="20"/>
          <w:szCs w:val="20"/>
        </w:rPr>
        <w:t xml:space="preserve"> current</w:t>
      </w:r>
      <w:r w:rsidR="00F16611" w:rsidRPr="00F16611">
        <w:rPr>
          <w:rFonts w:ascii="Gotham Book" w:hAnsi="Gotham Book" w:cs="Calibri"/>
          <w:sz w:val="20"/>
          <w:szCs w:val="20"/>
        </w:rPr>
        <w:t xml:space="preserve"> 60</w:t>
      </w:r>
      <w:r>
        <w:rPr>
          <w:rFonts w:ascii="Gotham Book" w:hAnsi="Gotham Book" w:cs="Calibri"/>
          <w:sz w:val="20"/>
          <w:szCs w:val="20"/>
        </w:rPr>
        <w:t xml:space="preserve"> days limits this ability and</w:t>
      </w:r>
      <w:r w:rsidR="00A54C73">
        <w:rPr>
          <w:rFonts w:ascii="Gotham Book" w:hAnsi="Gotham Book" w:cs="Calibri"/>
          <w:sz w:val="20"/>
          <w:szCs w:val="20"/>
        </w:rPr>
        <w:t xml:space="preserve"> should be longer to enable a more thorough investigation.</w:t>
      </w:r>
      <w:r>
        <w:rPr>
          <w:rFonts w:ascii="Gotham Book" w:hAnsi="Gotham Book" w:cs="Calibri"/>
          <w:sz w:val="20"/>
          <w:szCs w:val="20"/>
        </w:rPr>
        <w:t xml:space="preserve"> </w:t>
      </w:r>
      <w:r w:rsidR="00A54C73">
        <w:rPr>
          <w:rFonts w:ascii="Gotham Book" w:hAnsi="Gotham Book" w:cs="Calibri"/>
          <w:sz w:val="20"/>
          <w:szCs w:val="20"/>
        </w:rPr>
        <w:t xml:space="preserve">Finally, </w:t>
      </w:r>
      <w:r w:rsidR="00E05DCE" w:rsidRPr="00623C83">
        <w:rPr>
          <w:rFonts w:ascii="Gotham Book" w:hAnsi="Gotham Book" w:cs="Calibri"/>
          <w:sz w:val="20"/>
          <w:szCs w:val="20"/>
        </w:rPr>
        <w:t xml:space="preserve">APS investigators </w:t>
      </w:r>
      <w:r>
        <w:rPr>
          <w:rFonts w:ascii="Gotham Book" w:hAnsi="Gotham Book" w:cs="Calibri"/>
          <w:sz w:val="20"/>
          <w:szCs w:val="20"/>
        </w:rPr>
        <w:t>cannot</w:t>
      </w:r>
      <w:r w:rsidR="00E05DCE" w:rsidRPr="00623C83">
        <w:rPr>
          <w:rFonts w:ascii="Gotham Book" w:hAnsi="Gotham Book" w:cs="Calibri"/>
          <w:sz w:val="20"/>
          <w:szCs w:val="20"/>
        </w:rPr>
        <w:t xml:space="preserve"> currently </w:t>
      </w:r>
      <w:r>
        <w:rPr>
          <w:rFonts w:ascii="Gotham Book" w:hAnsi="Gotham Book" w:cs="Calibri"/>
          <w:sz w:val="20"/>
          <w:szCs w:val="20"/>
        </w:rPr>
        <w:t>view</w:t>
      </w:r>
      <w:r w:rsidR="00E05DCE" w:rsidRPr="00623C83">
        <w:rPr>
          <w:rFonts w:ascii="Gotham Book" w:hAnsi="Gotham Book" w:cs="Calibri"/>
          <w:sz w:val="20"/>
          <w:szCs w:val="20"/>
        </w:rPr>
        <w:t xml:space="preserve"> </w:t>
      </w:r>
      <w:r w:rsidR="00A54C73">
        <w:rPr>
          <w:rFonts w:ascii="Gotham Book" w:hAnsi="Gotham Book" w:cs="Calibri"/>
          <w:sz w:val="20"/>
          <w:szCs w:val="20"/>
        </w:rPr>
        <w:t xml:space="preserve">types of </w:t>
      </w:r>
      <w:r w:rsidR="00E05DCE" w:rsidRPr="00623C83">
        <w:rPr>
          <w:rFonts w:ascii="Gotham Book" w:hAnsi="Gotham Book" w:cs="Calibri"/>
          <w:sz w:val="20"/>
          <w:szCs w:val="20"/>
        </w:rPr>
        <w:t>information</w:t>
      </w:r>
      <w:r w:rsidR="00A54C73">
        <w:rPr>
          <w:rFonts w:ascii="Gotham Book" w:hAnsi="Gotham Book" w:cs="Calibri"/>
          <w:sz w:val="20"/>
          <w:szCs w:val="20"/>
        </w:rPr>
        <w:t xml:space="preserve"> that counties have identified as</w:t>
      </w:r>
      <w:r w:rsidR="00E05DCE" w:rsidRPr="00623C83">
        <w:rPr>
          <w:rFonts w:ascii="Gotham Book" w:hAnsi="Gotham Book" w:cs="Calibri"/>
          <w:sz w:val="20"/>
          <w:szCs w:val="20"/>
        </w:rPr>
        <w:t xml:space="preserve"> potentially critical to uncovering financial abuse</w:t>
      </w:r>
      <w:r w:rsidR="00623C83" w:rsidRPr="00623C83">
        <w:rPr>
          <w:rFonts w:ascii="Gotham Book" w:hAnsi="Gotham Book" w:cs="Calibri"/>
          <w:sz w:val="20"/>
          <w:szCs w:val="20"/>
        </w:rPr>
        <w:t>.</w:t>
      </w:r>
    </w:p>
    <w:p w14:paraId="1E7736B4" w14:textId="77777777" w:rsidR="00623C83" w:rsidRPr="00623C83" w:rsidRDefault="00623C83" w:rsidP="007833C2">
      <w:pPr>
        <w:rPr>
          <w:rFonts w:ascii="Gotham Book" w:hAnsi="Gotham Book" w:cs="Calibri"/>
          <w:sz w:val="20"/>
          <w:szCs w:val="20"/>
        </w:rPr>
      </w:pPr>
    </w:p>
    <w:p w14:paraId="465C33A3" w14:textId="798E5FB8" w:rsidR="00623C83" w:rsidRPr="00623C83" w:rsidRDefault="00623C83" w:rsidP="007833C2">
      <w:pPr>
        <w:rPr>
          <w:rFonts w:ascii="Gotham Book" w:hAnsi="Gotham Book" w:cstheme="minorHAnsi"/>
          <w:b/>
          <w:bCs/>
          <w:sz w:val="20"/>
          <w:szCs w:val="20"/>
          <w:u w:val="single"/>
        </w:rPr>
      </w:pPr>
      <w:r w:rsidRPr="00623C83">
        <w:rPr>
          <w:rFonts w:ascii="Gotham Book" w:hAnsi="Gotham Book" w:cstheme="minorHAnsi"/>
          <w:b/>
          <w:bCs/>
          <w:sz w:val="20"/>
          <w:szCs w:val="20"/>
          <w:u w:val="single"/>
        </w:rPr>
        <w:t>Solution</w:t>
      </w:r>
      <w:r w:rsidR="00A54C73">
        <w:rPr>
          <w:rFonts w:ascii="Gotham Book" w:hAnsi="Gotham Book" w:cstheme="minorHAnsi"/>
          <w:b/>
          <w:bCs/>
          <w:sz w:val="20"/>
          <w:szCs w:val="20"/>
          <w:u w:val="single"/>
        </w:rPr>
        <w:t>s</w:t>
      </w:r>
    </w:p>
    <w:p w14:paraId="52816F2A" w14:textId="6EBE6D26" w:rsidR="00B7019E" w:rsidRPr="00685E75" w:rsidRDefault="00B07EEE" w:rsidP="007833C2">
      <w:pPr>
        <w:pStyle w:val="ListParagraph"/>
        <w:numPr>
          <w:ilvl w:val="0"/>
          <w:numId w:val="4"/>
        </w:numPr>
        <w:rPr>
          <w:rFonts w:ascii="Gotham Book" w:hAnsi="Gotham Book" w:cs="Calibri"/>
          <w:sz w:val="20"/>
          <w:szCs w:val="20"/>
        </w:rPr>
      </w:pPr>
      <w:r>
        <w:rPr>
          <w:rFonts w:ascii="Gotham Book" w:hAnsi="Gotham Book" w:cs="Calibri"/>
          <w:sz w:val="20"/>
          <w:szCs w:val="20"/>
        </w:rPr>
        <w:t>A</w:t>
      </w:r>
      <w:r w:rsidR="00623C83" w:rsidRPr="00B07EEE">
        <w:rPr>
          <w:rFonts w:ascii="Gotham Book" w:hAnsi="Gotham Book" w:cs="Calibri"/>
          <w:sz w:val="20"/>
          <w:szCs w:val="20"/>
        </w:rPr>
        <w:t>mend the law to allow an APS report of abuse to suffice as a certification that a crime report has been filed that involves financial abuse</w:t>
      </w:r>
      <w:r>
        <w:rPr>
          <w:rFonts w:ascii="Gotham Book" w:hAnsi="Gotham Book" w:cs="Calibri"/>
          <w:sz w:val="20"/>
          <w:szCs w:val="20"/>
        </w:rPr>
        <w:t>.</w:t>
      </w:r>
    </w:p>
    <w:p w14:paraId="6F0AD4C7" w14:textId="134214B9" w:rsidR="00B7019E" w:rsidRPr="00685E75" w:rsidRDefault="00B07EEE" w:rsidP="007833C2">
      <w:pPr>
        <w:pStyle w:val="ListParagraph"/>
        <w:numPr>
          <w:ilvl w:val="0"/>
          <w:numId w:val="4"/>
        </w:numPr>
        <w:rPr>
          <w:rFonts w:ascii="Gotham Book" w:hAnsi="Gotham Book" w:cs="Calibri"/>
          <w:sz w:val="20"/>
          <w:szCs w:val="20"/>
        </w:rPr>
      </w:pPr>
      <w:r>
        <w:rPr>
          <w:rFonts w:ascii="Gotham Book" w:hAnsi="Gotham Book" w:cs="Calibri"/>
          <w:sz w:val="20"/>
          <w:szCs w:val="20"/>
        </w:rPr>
        <w:t>E</w:t>
      </w:r>
      <w:r w:rsidR="00623C83" w:rsidRPr="00B07EEE">
        <w:rPr>
          <w:rFonts w:ascii="Gotham Book" w:hAnsi="Gotham Book" w:cs="Calibri"/>
          <w:sz w:val="20"/>
          <w:szCs w:val="20"/>
        </w:rPr>
        <w:t xml:space="preserve">xtend the period for which APS can request records to 90 days </w:t>
      </w:r>
      <w:r w:rsidRPr="00B07EEE">
        <w:rPr>
          <w:rFonts w:ascii="Gotham Book" w:hAnsi="Gotham Book" w:cs="Calibri"/>
          <w:sz w:val="20"/>
          <w:szCs w:val="20"/>
        </w:rPr>
        <w:t xml:space="preserve">prior and </w:t>
      </w:r>
      <w:r w:rsidR="00D34CA8">
        <w:rPr>
          <w:rFonts w:ascii="Gotham Book" w:hAnsi="Gotham Book" w:cs="Calibri"/>
          <w:sz w:val="20"/>
          <w:szCs w:val="20"/>
        </w:rPr>
        <w:t>9</w:t>
      </w:r>
      <w:r w:rsidRPr="00B07EEE">
        <w:rPr>
          <w:rFonts w:ascii="Gotham Book" w:hAnsi="Gotham Book" w:cs="Calibri"/>
          <w:sz w:val="20"/>
          <w:szCs w:val="20"/>
        </w:rPr>
        <w:t>0 days</w:t>
      </w:r>
      <w:r w:rsidR="00623C83" w:rsidRPr="00B07EEE">
        <w:rPr>
          <w:rFonts w:ascii="Gotham Book" w:hAnsi="Gotham Book" w:cs="Calibri"/>
          <w:sz w:val="20"/>
          <w:szCs w:val="20"/>
        </w:rPr>
        <w:t xml:space="preserve"> following the alleged illegal act</w:t>
      </w:r>
      <w:r>
        <w:rPr>
          <w:rFonts w:ascii="Gotham Book" w:hAnsi="Gotham Book" w:cs="Calibri"/>
          <w:sz w:val="20"/>
          <w:szCs w:val="20"/>
        </w:rPr>
        <w:t>.</w:t>
      </w:r>
    </w:p>
    <w:p w14:paraId="066C7B84" w14:textId="04AB5D93" w:rsidR="00F16611" w:rsidRPr="00B07EEE" w:rsidRDefault="00B07EEE" w:rsidP="007833C2">
      <w:pPr>
        <w:pStyle w:val="ListParagraph"/>
        <w:numPr>
          <w:ilvl w:val="0"/>
          <w:numId w:val="4"/>
        </w:numPr>
        <w:rPr>
          <w:rFonts w:ascii="Gotham Book" w:hAnsi="Gotham Book" w:cs="Calibri"/>
          <w:sz w:val="20"/>
          <w:szCs w:val="20"/>
        </w:rPr>
      </w:pPr>
      <w:r>
        <w:rPr>
          <w:rFonts w:ascii="Gotham Book" w:hAnsi="Gotham Book" w:cs="Calibri"/>
          <w:sz w:val="20"/>
          <w:szCs w:val="20"/>
        </w:rPr>
        <w:t>E</w:t>
      </w:r>
      <w:r w:rsidR="00623C83" w:rsidRPr="00B07EEE">
        <w:rPr>
          <w:rFonts w:ascii="Gotham Book" w:hAnsi="Gotham Book" w:cs="Calibri"/>
          <w:sz w:val="20"/>
          <w:szCs w:val="20"/>
        </w:rPr>
        <w:t>xpand the types of items APS can request from a bank</w:t>
      </w:r>
      <w:r w:rsidRPr="00B07EEE">
        <w:rPr>
          <w:rFonts w:ascii="Gotham Book" w:hAnsi="Gotham Book" w:cs="Calibri"/>
          <w:sz w:val="20"/>
          <w:szCs w:val="20"/>
        </w:rPr>
        <w:t xml:space="preserve"> </w:t>
      </w:r>
      <w:r w:rsidR="00E10850">
        <w:rPr>
          <w:rFonts w:ascii="Gotham Book" w:hAnsi="Gotham Book" w:cs="Calibri"/>
          <w:sz w:val="20"/>
          <w:szCs w:val="20"/>
        </w:rPr>
        <w:t xml:space="preserve">or financial institution </w:t>
      </w:r>
      <w:r w:rsidRPr="00B07EEE">
        <w:rPr>
          <w:rFonts w:ascii="Gotham Book" w:hAnsi="Gotham Book" w:cs="Calibri"/>
          <w:sz w:val="20"/>
          <w:szCs w:val="20"/>
        </w:rPr>
        <w:t>to include information</w:t>
      </w:r>
      <w:r>
        <w:rPr>
          <w:rFonts w:ascii="Gotham Book" w:hAnsi="Gotham Book" w:cs="Calibri"/>
          <w:sz w:val="20"/>
          <w:szCs w:val="20"/>
        </w:rPr>
        <w:t xml:space="preserve"> regarding </w:t>
      </w:r>
      <w:r w:rsidR="00623C83" w:rsidRPr="00B07EEE">
        <w:rPr>
          <w:rFonts w:ascii="Gotham Book" w:hAnsi="Gotham Book" w:cs="Calibri"/>
          <w:sz w:val="20"/>
          <w:szCs w:val="20"/>
        </w:rPr>
        <w:t>newly issued cards, changes of addresses and</w:t>
      </w:r>
      <w:r w:rsidR="00B7019E">
        <w:rPr>
          <w:rFonts w:ascii="Gotham Book" w:hAnsi="Gotham Book" w:cs="Calibri"/>
          <w:sz w:val="20"/>
          <w:szCs w:val="20"/>
        </w:rPr>
        <w:t xml:space="preserve"> information regarding</w:t>
      </w:r>
      <w:r w:rsidR="00623C83" w:rsidRPr="00B07EEE">
        <w:rPr>
          <w:rFonts w:ascii="Gotham Book" w:hAnsi="Gotham Book" w:cs="Calibri"/>
          <w:sz w:val="20"/>
          <w:szCs w:val="20"/>
        </w:rPr>
        <w:t xml:space="preserve"> trusts or Power of Attorney. </w:t>
      </w:r>
    </w:p>
    <w:p w14:paraId="08410A4E" w14:textId="77777777" w:rsidR="009B446A" w:rsidRPr="00623C83" w:rsidRDefault="009B446A" w:rsidP="007833C2">
      <w:pPr>
        <w:rPr>
          <w:rFonts w:ascii="Gotham Book" w:hAnsi="Gotham Book" w:cstheme="minorHAnsi"/>
          <w:sz w:val="20"/>
          <w:szCs w:val="20"/>
        </w:rPr>
      </w:pPr>
    </w:p>
    <w:p w14:paraId="423511BA" w14:textId="77777777" w:rsidR="009B446A" w:rsidRPr="00F16611" w:rsidRDefault="009B446A" w:rsidP="007833C2">
      <w:pPr>
        <w:ind w:left="-4"/>
        <w:rPr>
          <w:rFonts w:ascii="Gotham Book" w:hAnsi="Gotham Book"/>
          <w:b/>
          <w:bCs/>
          <w:sz w:val="20"/>
          <w:szCs w:val="20"/>
          <w:u w:val="single"/>
        </w:rPr>
      </w:pPr>
      <w:r w:rsidRPr="00623C83">
        <w:rPr>
          <w:rFonts w:ascii="Gotham Book" w:hAnsi="Gotham Book"/>
          <w:b/>
          <w:bCs/>
          <w:sz w:val="20"/>
          <w:szCs w:val="20"/>
          <w:u w:val="single"/>
        </w:rPr>
        <w:t>Contact</w:t>
      </w:r>
    </w:p>
    <w:p w14:paraId="64F93136" w14:textId="1AD2D8EA" w:rsidR="00EC221E" w:rsidRDefault="00B07EEE" w:rsidP="007833C2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Amanda Kirchner </w:t>
      </w:r>
    </w:p>
    <w:p w14:paraId="25D853DD" w14:textId="44C86259" w:rsidR="00B07EEE" w:rsidRDefault="00B07EEE" w:rsidP="007833C2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Director of Legislative Advocacy</w:t>
      </w:r>
    </w:p>
    <w:p w14:paraId="5671D256" w14:textId="142C7292" w:rsidR="00B07EEE" w:rsidRPr="00CF0721" w:rsidRDefault="00D34CA8" w:rsidP="007833C2">
      <w:pPr>
        <w:rPr>
          <w:rFonts w:ascii="Gotham Book" w:hAnsi="Gotham Book"/>
          <w:sz w:val="20"/>
          <w:szCs w:val="20"/>
        </w:rPr>
      </w:pPr>
      <w:hyperlink r:id="rId10" w:history="1">
        <w:r w:rsidR="007E5298" w:rsidRPr="0093717D">
          <w:rPr>
            <w:rStyle w:val="Hyperlink"/>
            <w:rFonts w:ascii="Gotham Book" w:hAnsi="Gotham Book"/>
            <w:sz w:val="20"/>
            <w:szCs w:val="20"/>
          </w:rPr>
          <w:t>akirchner@cwda.org</w:t>
        </w:r>
      </w:hyperlink>
      <w:r w:rsidR="007E5298">
        <w:rPr>
          <w:rFonts w:ascii="Gotham Book" w:hAnsi="Gotham Book"/>
          <w:sz w:val="20"/>
          <w:szCs w:val="20"/>
        </w:rPr>
        <w:t xml:space="preserve"> </w:t>
      </w:r>
    </w:p>
    <w:sectPr w:rsidR="00B07EEE" w:rsidRPr="00CF0721" w:rsidSect="009B446A">
      <w:headerReference w:type="default" r:id="rId11"/>
      <w:headerReference w:type="first" r:id="rId12"/>
      <w:pgSz w:w="12240" w:h="15840"/>
      <w:pgMar w:top="720" w:right="1440" w:bottom="994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1BE2" w14:textId="77777777" w:rsidR="00AE4452" w:rsidRDefault="00AE4452" w:rsidP="009B446A">
      <w:r>
        <w:separator/>
      </w:r>
    </w:p>
  </w:endnote>
  <w:endnote w:type="continuationSeparator" w:id="0">
    <w:p w14:paraId="781322F7" w14:textId="77777777" w:rsidR="00AE4452" w:rsidRDefault="00AE4452" w:rsidP="009B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2B57" w14:textId="77777777" w:rsidR="00AE4452" w:rsidRDefault="00AE4452" w:rsidP="009B446A">
      <w:r>
        <w:separator/>
      </w:r>
    </w:p>
  </w:footnote>
  <w:footnote w:type="continuationSeparator" w:id="0">
    <w:p w14:paraId="02A99E81" w14:textId="77777777" w:rsidR="00AE4452" w:rsidRDefault="00AE4452" w:rsidP="009B446A">
      <w:r>
        <w:continuationSeparator/>
      </w:r>
    </w:p>
  </w:footnote>
  <w:footnote w:id="1">
    <w:p w14:paraId="70ABAA3E" w14:textId="77777777" w:rsidR="00CF0721" w:rsidRPr="000F2889" w:rsidRDefault="00CF0721" w:rsidP="00CF0721">
      <w:pPr>
        <w:rPr>
          <w:rFonts w:ascii="Gotham Book" w:hAnsi="Gotham Book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  <w:rFonts w:ascii="Gotham Book" w:hAnsi="Gotham Book" w:cs="Calibri"/>
            <w:sz w:val="20"/>
            <w:szCs w:val="20"/>
          </w:rPr>
          <w:t>California Government Code, Chapter 20, Section 7480(b)</w:t>
        </w:r>
      </w:hyperlink>
    </w:p>
  </w:footnote>
  <w:footnote w:id="2">
    <w:p w14:paraId="6215FA75" w14:textId="77777777" w:rsidR="00CF0721" w:rsidRPr="000F2889" w:rsidRDefault="00CF0721" w:rsidP="00CF0721">
      <w:pPr>
        <w:rPr>
          <w:rFonts w:ascii="Gotham Book" w:hAnsi="Gotham Book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  <w:rFonts w:ascii="Gotham Book" w:hAnsi="Gotham Book" w:cs="Calibri"/>
            <w:sz w:val="20"/>
            <w:szCs w:val="20"/>
          </w:rPr>
          <w:t>California Government Code, Chapter 20, Section 7480(b)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8AC7" w14:textId="77777777" w:rsidR="009603F7" w:rsidRDefault="00D34CA8" w:rsidP="00236786">
    <w:pPr>
      <w:pStyle w:val="Header"/>
    </w:pPr>
  </w:p>
  <w:p w14:paraId="4394AEE3" w14:textId="77777777" w:rsidR="00236786" w:rsidRDefault="00D34CA8" w:rsidP="009603F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32A" w14:textId="3F4242D1" w:rsidR="00BA6F47" w:rsidRDefault="008329ED" w:rsidP="00BA6F47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08C680" wp14:editId="5BE4A70C">
          <wp:simplePos x="0" y="0"/>
          <wp:positionH relativeFrom="margin">
            <wp:align>center</wp:align>
          </wp:positionH>
          <wp:positionV relativeFrom="paragraph">
            <wp:posOffset>-217380</wp:posOffset>
          </wp:positionV>
          <wp:extent cx="3575050" cy="670560"/>
          <wp:effectExtent l="0" t="0" r="6350" b="0"/>
          <wp:wrapTight wrapText="bothSides">
            <wp:wrapPolygon edited="0">
              <wp:start x="0" y="0"/>
              <wp:lineTo x="0" y="20864"/>
              <wp:lineTo x="21523" y="20864"/>
              <wp:lineTo x="21523" y="0"/>
              <wp:lineTo x="0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05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72DB7" w14:textId="6C0A22C4" w:rsidR="004E4946" w:rsidRDefault="009B44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F38E744" wp14:editId="06AF040D">
              <wp:simplePos x="0" y="0"/>
              <wp:positionH relativeFrom="margin">
                <wp:align>right</wp:align>
              </wp:positionH>
              <wp:positionV relativeFrom="page">
                <wp:posOffset>1019175</wp:posOffset>
              </wp:positionV>
              <wp:extent cx="5915025" cy="581025"/>
              <wp:effectExtent l="0" t="0" r="28575" b="28575"/>
              <wp:wrapTight wrapText="bothSides">
                <wp:wrapPolygon edited="0">
                  <wp:start x="0" y="0"/>
                  <wp:lineTo x="0" y="21954"/>
                  <wp:lineTo x="21635" y="21954"/>
                  <wp:lineTo x="21635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CA7B6" w14:textId="3BF18635" w:rsidR="009B446A" w:rsidRDefault="008329ED" w:rsidP="00BA6F47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14:textOutline w14:w="63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22398"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14:textOutline w14:w="63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FACT SHEET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14:textOutline w14:w="63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:</w:t>
                          </w:r>
                        </w:p>
                        <w:p w14:paraId="7BD13E3D" w14:textId="0581BFFF" w:rsidR="00BA6F47" w:rsidRPr="00122398" w:rsidRDefault="009B446A" w:rsidP="00BA6F47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14:textOutline w14:w="63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24"/>
                              <w:szCs w:val="24"/>
                              <w14:textOutline w14:w="635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ADULT PROTECTIVE SERVICES (APS) FINANCIAL ABUSE INVESTIGATIONS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38E7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55pt;margin-top:80.25pt;width:465.75pt;height:45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">
              <v:textbox>
                <w:txbxContent>
                  <w:p w14:paraId="3F1CA7B6" w14:textId="3BF18635" w:rsidR="009B446A" w:rsidRDefault="008329ED" w:rsidP="00BA6F47">
                    <w:pPr>
                      <w:pStyle w:val="Heading2"/>
                      <w:jc w:val="center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14:textOutline w14:w="63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22398"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14:textOutline w14:w="63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FACT SHEET</w:t>
                    </w:r>
                    <w:r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14:textOutline w14:w="63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:</w:t>
                    </w:r>
                  </w:p>
                  <w:p w14:paraId="7BD13E3D" w14:textId="0581BFFF" w:rsidR="00BA6F47" w:rsidRPr="00122398" w:rsidRDefault="009B446A" w:rsidP="00BA6F47">
                    <w:pPr>
                      <w:pStyle w:val="Heading2"/>
                      <w:jc w:val="center"/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14:textOutline w14:w="63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color w:val="auto"/>
                        <w:sz w:val="24"/>
                        <w:szCs w:val="24"/>
                        <w14:textOutline w14:w="635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ADULT PROTECTIVE SERVICES (APS) FINANCIAL ABUSE INVESTIGATIONS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8329E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936"/>
    <w:multiLevelType w:val="hybridMultilevel"/>
    <w:tmpl w:val="EC3C4B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C54"/>
    <w:multiLevelType w:val="hybridMultilevel"/>
    <w:tmpl w:val="4BEE7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1BB9"/>
    <w:multiLevelType w:val="hybridMultilevel"/>
    <w:tmpl w:val="C4767D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C02B23"/>
    <w:multiLevelType w:val="hybridMultilevel"/>
    <w:tmpl w:val="63368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90481">
    <w:abstractNumId w:val="1"/>
  </w:num>
  <w:num w:numId="2" w16cid:durableId="1028021745">
    <w:abstractNumId w:val="3"/>
  </w:num>
  <w:num w:numId="3" w16cid:durableId="38938899">
    <w:abstractNumId w:val="0"/>
  </w:num>
  <w:num w:numId="4" w16cid:durableId="13102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6A"/>
    <w:rsid w:val="00061FE8"/>
    <w:rsid w:val="000F2889"/>
    <w:rsid w:val="0012413A"/>
    <w:rsid w:val="001E73C8"/>
    <w:rsid w:val="003063C2"/>
    <w:rsid w:val="004B4BAD"/>
    <w:rsid w:val="00572012"/>
    <w:rsid w:val="005A4466"/>
    <w:rsid w:val="00623C83"/>
    <w:rsid w:val="00685E75"/>
    <w:rsid w:val="006D4C5F"/>
    <w:rsid w:val="007833C2"/>
    <w:rsid w:val="007E5298"/>
    <w:rsid w:val="008329ED"/>
    <w:rsid w:val="00920CA8"/>
    <w:rsid w:val="00975FA1"/>
    <w:rsid w:val="009B446A"/>
    <w:rsid w:val="00A01444"/>
    <w:rsid w:val="00A54C73"/>
    <w:rsid w:val="00AE4452"/>
    <w:rsid w:val="00B07EEE"/>
    <w:rsid w:val="00B7019E"/>
    <w:rsid w:val="00C61602"/>
    <w:rsid w:val="00CE03E6"/>
    <w:rsid w:val="00CF0721"/>
    <w:rsid w:val="00D34CA8"/>
    <w:rsid w:val="00D43B97"/>
    <w:rsid w:val="00E05DCE"/>
    <w:rsid w:val="00E10850"/>
    <w:rsid w:val="00EC221E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F89A"/>
  <w15:chartTrackingRefBased/>
  <w15:docId w15:val="{72BA4D0A-456E-468B-A72F-F61FD34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6A"/>
    <w:pPr>
      <w:spacing w:line="240" w:lineRule="auto"/>
      <w:jc w:val="left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46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44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B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46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46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B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46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8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3C8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irchner@cwd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eginfo.legislature.ca.gov/faces/codes_displaySection.xhtml?lawCode=GOV&amp;sectionNum=7480" TargetMode="External"/><Relationship Id="rId1" Type="http://schemas.openxmlformats.org/officeDocument/2006/relationships/hyperlink" Target="https://leginfo.legislature.ca.gov/faces/codes_displaySection.xhtml?lawCode=GOV&amp;sectionNum=748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FFC16375E34F961468B8ECA2FD71" ma:contentTypeVersion="16" ma:contentTypeDescription="Create a new document." ma:contentTypeScope="" ma:versionID="f792f6b1d055b8ba4a8bedce7648e283">
  <xsd:schema xmlns:xsd="http://www.w3.org/2001/XMLSchema" xmlns:xs="http://www.w3.org/2001/XMLSchema" xmlns:p="http://schemas.microsoft.com/office/2006/metadata/properties" xmlns:ns2="74fb4c01-251a-47df-b1f1-54cc2ae61efe" xmlns:ns3="c9b6c3b7-3626-4f0b-bf5c-650640e76693" targetNamespace="http://schemas.microsoft.com/office/2006/metadata/properties" ma:root="true" ma:fieldsID="27aa54c8e8dabbd7eb2f7d8e4ae6e535" ns2:_="" ns3:_="">
    <xsd:import namespace="74fb4c01-251a-47df-b1f1-54cc2ae61efe"/>
    <xsd:import namespace="c9b6c3b7-3626-4f0b-bf5c-650640e76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4c01-251a-47df-b1f1-54cc2ae61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13d96c-efe0-4390-a9d0-6832ac623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c3b7-3626-4f0b-bf5c-650640e7669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b187d5f-de00-42dc-975e-2b69ad84e16a}" ma:internalName="TaxCatchAll" ma:showField="CatchAllData" ma:web="c9b6c3b7-3626-4f0b-bf5c-650640e76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b4c01-251a-47df-b1f1-54cc2ae61efe">
      <Terms xmlns="http://schemas.microsoft.com/office/infopath/2007/PartnerControls"/>
    </lcf76f155ced4ddcb4097134ff3c332f>
    <TaxCatchAll xmlns="c9b6c3b7-3626-4f0b-bf5c-650640e766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85614-3AA6-47DD-94BC-7DD4460AB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b4c01-251a-47df-b1f1-54cc2ae61efe"/>
    <ds:schemaRef ds:uri="c9b6c3b7-3626-4f0b-bf5c-650640e76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133C6-5CD0-403C-B09D-153BAE7408A2}">
  <ds:schemaRefs>
    <ds:schemaRef ds:uri="http://schemas.microsoft.com/office/2006/metadata/properties"/>
    <ds:schemaRef ds:uri="http://schemas.microsoft.com/office/infopath/2007/PartnerControls"/>
    <ds:schemaRef ds:uri="74fb4c01-251a-47df-b1f1-54cc2ae61efe"/>
    <ds:schemaRef ds:uri="c9b6c3b7-3626-4f0b-bf5c-650640e76693"/>
  </ds:schemaRefs>
</ds:datastoreItem>
</file>

<file path=customXml/itemProps3.xml><?xml version="1.0" encoding="utf-8"?>
<ds:datastoreItem xmlns:ds="http://schemas.openxmlformats.org/officeDocument/2006/customXml" ds:itemID="{39180885-466E-4C3B-9D4A-A51BC4873F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 Tountas</dc:creator>
  <cp:keywords/>
  <dc:description/>
  <cp:lastModifiedBy>Weston Tountas</cp:lastModifiedBy>
  <cp:revision>3</cp:revision>
  <dcterms:created xsi:type="dcterms:W3CDTF">2023-01-10T19:17:00Z</dcterms:created>
  <dcterms:modified xsi:type="dcterms:W3CDTF">2023-03-09T22:42:00Z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0x010100A299A3BBC80E4F4891041F00669DCF5D</vt:lpwstr>
  </property>
  <property fmtid="{D5CDD505-2E9C-101B-9397-08002B2CF9AE}" pid="3" name="MediaServiceImageTags">
    <vt:lpwstr/>
  </property>
</Properties>
</file>