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eastAsia="en-US"/>
        </w:rPr>
        <w:id w:val="-1299605987"/>
        <w:docPartObj>
          <w:docPartGallery w:val="Cover Pages"/>
          <w:docPartUnique/>
        </w:docPartObj>
      </w:sdtPr>
      <w:sdtEndPr>
        <w:rPr>
          <w:rFonts w:ascii="Times New Roman" w:eastAsiaTheme="minorHAnsi" w:hAnsi="Times New Roman" w:cs="Times New Roman"/>
          <w:b/>
          <w:sz w:val="24"/>
          <w:szCs w:val="24"/>
        </w:rPr>
      </w:sdtEndPr>
      <w:sdtContent>
        <w:p w:rsidR="00E735AA" w:rsidRDefault="00E735AA">
          <w:pPr>
            <w:pStyle w:val="NoSpacing"/>
            <w:rPr>
              <w:rFonts w:asciiTheme="majorHAnsi" w:eastAsiaTheme="majorEastAsia" w:hAnsiTheme="majorHAnsi" w:cstheme="majorBidi"/>
              <w:sz w:val="72"/>
              <w:szCs w:val="72"/>
              <w:lang w:eastAsia="en-US"/>
            </w:rPr>
          </w:pPr>
        </w:p>
        <w:p w:rsidR="00E735AA" w:rsidRDefault="00E735AA">
          <w:pPr>
            <w:pStyle w:val="NoSpacing"/>
            <w:rPr>
              <w:rFonts w:asciiTheme="majorHAnsi" w:eastAsiaTheme="majorEastAsia" w:hAnsiTheme="majorHAnsi" w:cstheme="majorBidi"/>
              <w:sz w:val="72"/>
              <w:szCs w:val="72"/>
              <w:lang w:eastAsia="en-US"/>
            </w:rPr>
          </w:pPr>
        </w:p>
        <w:sdt>
          <w:sdtPr>
            <w:rPr>
              <w:rFonts w:ascii="Arial" w:eastAsiaTheme="majorEastAsia" w:hAnsi="Arial" w:cs="Arial"/>
              <w:b/>
              <w:sz w:val="56"/>
              <w:szCs w:val="5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0E75B0" w:rsidRPr="00B12398" w:rsidRDefault="000E75B0" w:rsidP="000E75B0">
              <w:pPr>
                <w:pStyle w:val="NoSpacing"/>
                <w:rPr>
                  <w:rFonts w:ascii="Times New Roman" w:eastAsiaTheme="majorEastAsia" w:hAnsi="Times New Roman" w:cs="Times New Roman"/>
                  <w:b/>
                  <w:sz w:val="72"/>
                  <w:szCs w:val="72"/>
                </w:rPr>
              </w:pPr>
              <w:r w:rsidRPr="000E75B0">
                <w:rPr>
                  <w:rFonts w:ascii="Arial" w:eastAsiaTheme="majorEastAsia" w:hAnsi="Arial" w:cs="Arial"/>
                  <w:b/>
                  <w:sz w:val="56"/>
                  <w:szCs w:val="56"/>
                </w:rPr>
                <w:t>Methodology for Measuring Neighborhood Access to CalFresh</w:t>
              </w:r>
            </w:p>
          </w:sdtContent>
        </w:sdt>
        <w:p w:rsidR="005C55C5" w:rsidRDefault="000E75B0" w:rsidP="000E75B0">
          <w:pPr>
            <w:pStyle w:val="NoSpacing"/>
            <w:rPr>
              <w:rFonts w:asciiTheme="majorHAnsi" w:eastAsiaTheme="majorEastAsia" w:hAnsiTheme="majorHAnsi" w:cstheme="majorBidi"/>
              <w:sz w:val="72"/>
              <w:szCs w:val="72"/>
            </w:rPr>
          </w:pPr>
          <w:r>
            <w:rPr>
              <w:noProof/>
              <w:lang w:eastAsia="en-US"/>
            </w:rPr>
            <w:t xml:space="preserve"> </w:t>
          </w:r>
          <w:bookmarkStart w:id="0" w:name="_GoBack"/>
          <w:bookmarkEnd w:id="0"/>
          <w:r w:rsidR="005C55C5">
            <w:rPr>
              <w:noProof/>
              <w:lang w:eastAsia="en-US"/>
            </w:rPr>
            <mc:AlternateContent>
              <mc:Choice Requires="wps">
                <w:drawing>
                  <wp:anchor distT="0" distB="0" distL="114300" distR="114300" simplePos="0" relativeHeight="251692032" behindDoc="0" locked="0" layoutInCell="0" allowOverlap="1" wp14:anchorId="00956D83" wp14:editId="7F96DE2D">
                    <wp:simplePos x="0" y="0"/>
                    <wp:positionH relativeFrom="page">
                      <wp:align>center</wp:align>
                    </wp:positionH>
                    <wp:positionV relativeFrom="page">
                      <wp:align>bottom</wp:align>
                    </wp:positionV>
                    <wp:extent cx="8161020" cy="817880"/>
                    <wp:effectExtent l="0" t="0" r="0" b="508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04CF0F3" id="Rectangle 2" o:spid="_x0000_s1026" style="position:absolute;margin-left:0;margin-top:0;width:642.6pt;height:64.4pt;z-index:25169203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" o:allowincell="f" fillcolor="#4bacc6 [3208]" strokecolor="#4f81bd [3204]">
                    <w10:wrap anchorx="page" anchory="page"/>
                  </v:rect>
                </w:pict>
              </mc:Fallback>
            </mc:AlternateContent>
          </w:r>
          <w:r w:rsidR="005C55C5">
            <w:rPr>
              <w:noProof/>
              <w:lang w:eastAsia="en-US"/>
            </w:rPr>
            <mc:AlternateContent>
              <mc:Choice Requires="wps">
                <w:drawing>
                  <wp:anchor distT="0" distB="0" distL="114300" distR="114300" simplePos="0" relativeHeight="251695104" behindDoc="0" locked="0" layoutInCell="0" allowOverlap="1" wp14:anchorId="59D66F44" wp14:editId="12775FF1">
                    <wp:simplePos x="0" y="0"/>
                    <wp:positionH relativeFrom="leftMargin">
                      <wp:align>center</wp:align>
                    </wp:positionH>
                    <wp:positionV relativeFrom="page">
                      <wp:align>center</wp:align>
                    </wp:positionV>
                    <wp:extent cx="90805" cy="10556240"/>
                    <wp:effectExtent l="0" t="0" r="4445" b="508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BE7D31" id="Rectangle 5" o:spid="_x0000_s1026" style="position:absolute;margin-left:0;margin-top:0;width:7.15pt;height:831.2pt;z-index:2516951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C/MRh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5C55C5">
            <w:rPr>
              <w:noProof/>
              <w:lang w:eastAsia="en-US"/>
            </w:rPr>
            <mc:AlternateContent>
              <mc:Choice Requires="wps">
                <w:drawing>
                  <wp:anchor distT="0" distB="0" distL="114300" distR="114300" simplePos="0" relativeHeight="251694080" behindDoc="0" locked="0" layoutInCell="0" allowOverlap="1" wp14:anchorId="08A86B09" wp14:editId="401EDA83">
                    <wp:simplePos x="0" y="0"/>
                    <wp:positionH relativeFrom="rightMargin">
                      <wp:align>center</wp:align>
                    </wp:positionH>
                    <wp:positionV relativeFrom="page">
                      <wp:align>center</wp:align>
                    </wp:positionV>
                    <wp:extent cx="90805" cy="10556240"/>
                    <wp:effectExtent l="0" t="0" r="4445" b="508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1A781BF" id="Rectangle 4" o:spid="_x0000_s1026" style="position:absolute;margin-left:0;margin-top:0;width:7.15pt;height:831.2pt;z-index:2516940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" o:allowincell="f" strokecolor="#4f81bd [3204]">
                    <w10:wrap anchorx="margin" anchory="page"/>
                  </v:rect>
                </w:pict>
              </mc:Fallback>
            </mc:AlternateContent>
          </w:r>
          <w:r w:rsidR="005C55C5">
            <w:rPr>
              <w:noProof/>
              <w:lang w:eastAsia="en-US"/>
            </w:rPr>
            <mc:AlternateContent>
              <mc:Choice Requires="wps">
                <w:drawing>
                  <wp:anchor distT="0" distB="0" distL="114300" distR="114300" simplePos="0" relativeHeight="251693056" behindDoc="0" locked="0" layoutInCell="0" allowOverlap="1" wp14:anchorId="7AB1ADCD" wp14:editId="0D6585FD">
                    <wp:simplePos x="0" y="0"/>
                    <wp:positionH relativeFrom="page">
                      <wp:align>center</wp:align>
                    </wp:positionH>
                    <wp:positionV relativeFrom="topMargin">
                      <wp:align>top</wp:align>
                    </wp:positionV>
                    <wp:extent cx="8161020" cy="822960"/>
                    <wp:effectExtent l="0" t="0" r="0"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3C2C40D" id="Rectangle 3" o:spid="_x0000_s1026" style="position:absolute;margin-left:0;margin-top:0;width:642.6pt;height:64.8pt;z-index:25169305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" o:allowincell="f" fillcolor="#4bacc6 [3208]" strokecolor="#4f81bd [3204]">
                    <w10:wrap anchorx="page" anchory="margin"/>
                  </v:rect>
                </w:pict>
              </mc:Fallback>
            </mc:AlternateContent>
          </w:r>
        </w:p>
        <w:sdt>
          <w:sdtPr>
            <w:rPr>
              <w:rFonts w:ascii="Arial" w:eastAsiaTheme="majorEastAsia" w:hAnsi="Arial" w:cs="Arial"/>
              <w:sz w:val="28"/>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5C55C5" w:rsidRPr="000E75B0" w:rsidRDefault="000E75B0">
              <w:pPr>
                <w:pStyle w:val="NoSpacing"/>
                <w:rPr>
                  <w:rFonts w:ascii="Arial" w:eastAsiaTheme="majorEastAsia" w:hAnsi="Arial" w:cs="Arial"/>
                  <w:sz w:val="28"/>
                  <w:szCs w:val="36"/>
                </w:rPr>
              </w:pPr>
              <w:r w:rsidRPr="000E75B0">
                <w:rPr>
                  <w:rFonts w:ascii="Arial" w:eastAsiaTheme="majorEastAsia" w:hAnsi="Arial" w:cs="Arial"/>
                  <w:sz w:val="28"/>
                  <w:szCs w:val="36"/>
                </w:rPr>
                <w:t xml:space="preserve">California Department of Social Services, </w:t>
              </w:r>
              <w:r w:rsidR="00A839D0" w:rsidRPr="000E75B0">
                <w:rPr>
                  <w:rFonts w:ascii="Arial" w:eastAsiaTheme="majorEastAsia" w:hAnsi="Arial" w:cs="Arial"/>
                  <w:sz w:val="28"/>
                  <w:szCs w:val="36"/>
                </w:rPr>
                <w:t>Res</w:t>
              </w:r>
              <w:r w:rsidRPr="000E75B0">
                <w:rPr>
                  <w:rFonts w:ascii="Arial" w:eastAsiaTheme="majorEastAsia" w:hAnsi="Arial" w:cs="Arial"/>
                  <w:sz w:val="28"/>
                  <w:szCs w:val="36"/>
                </w:rPr>
                <w:t>earch Services Branch</w:t>
              </w:r>
            </w:p>
          </w:sdtContent>
        </w:sdt>
        <w:p w:rsidR="005C55C5" w:rsidRPr="000E75B0" w:rsidRDefault="00242792">
          <w:pPr>
            <w:pStyle w:val="NoSpacing"/>
            <w:rPr>
              <w:rFonts w:ascii="Arial" w:hAnsi="Arial" w:cs="Arial"/>
              <w:sz w:val="28"/>
              <w:szCs w:val="28"/>
            </w:rPr>
          </w:pPr>
          <w:r>
            <w:rPr>
              <w:rFonts w:ascii="Arial" w:hAnsi="Arial" w:cs="Arial"/>
              <w:sz w:val="28"/>
              <w:szCs w:val="28"/>
            </w:rPr>
            <w:t>Updated November 2015</w:t>
          </w:r>
        </w:p>
        <w:p w:rsidR="005C55C5" w:rsidRDefault="005C55C5"/>
        <w:p w:rsidR="005C55C5" w:rsidRDefault="005C55C5">
          <w:pPr>
            <w:rPr>
              <w:rFonts w:ascii="Times New Roman" w:hAnsi="Times New Roman" w:cs="Times New Roman"/>
              <w:b/>
              <w:sz w:val="24"/>
              <w:szCs w:val="24"/>
            </w:rPr>
          </w:pPr>
          <w:r>
            <w:rPr>
              <w:rFonts w:ascii="Times New Roman" w:hAnsi="Times New Roman" w:cs="Times New Roman"/>
              <w:b/>
              <w:sz w:val="24"/>
              <w:szCs w:val="24"/>
            </w:rPr>
            <w:br w:type="page"/>
          </w:r>
        </w:p>
      </w:sdtContent>
    </w:sdt>
    <w:p w:rsidR="00F86CD3" w:rsidRPr="00A05E9D" w:rsidRDefault="00F86CD3" w:rsidP="00F86CD3">
      <w:pPr>
        <w:spacing w:after="0" w:line="240" w:lineRule="auto"/>
        <w:rPr>
          <w:rFonts w:ascii="Arial" w:hAnsi="Arial" w:cs="Arial"/>
        </w:rPr>
      </w:pPr>
    </w:p>
    <w:p w:rsidR="00070801" w:rsidRDefault="00007C4B" w:rsidP="00007C4B">
      <w:pPr>
        <w:spacing w:after="0" w:line="240" w:lineRule="auto"/>
        <w:rPr>
          <w:rFonts w:ascii="Arial" w:hAnsi="Arial" w:cs="Arial"/>
        </w:rPr>
      </w:pPr>
      <w:r w:rsidRPr="00C96DE3">
        <w:rPr>
          <w:rFonts w:ascii="Arial" w:hAnsi="Arial" w:cs="Arial"/>
        </w:rPr>
        <w:t>Federal statistics indicate that California has the lowest participation</w:t>
      </w:r>
      <w:r w:rsidR="001E7282">
        <w:rPr>
          <w:rFonts w:ascii="Arial" w:hAnsi="Arial" w:cs="Arial"/>
        </w:rPr>
        <w:t xml:space="preserve"> </w:t>
      </w:r>
      <w:r w:rsidRPr="00C96DE3">
        <w:rPr>
          <w:rFonts w:ascii="Arial" w:hAnsi="Arial" w:cs="Arial"/>
        </w:rPr>
        <w:t xml:space="preserve">in federally funded </w:t>
      </w:r>
      <w:r w:rsidR="009A384E">
        <w:rPr>
          <w:rFonts w:ascii="Arial" w:hAnsi="Arial" w:cs="Arial"/>
        </w:rPr>
        <w:t>food</w:t>
      </w:r>
      <w:r w:rsidRPr="00C96DE3">
        <w:rPr>
          <w:rFonts w:ascii="Arial" w:hAnsi="Arial" w:cs="Arial"/>
        </w:rPr>
        <w:t xml:space="preserve"> </w:t>
      </w:r>
      <w:r w:rsidR="009A384E">
        <w:rPr>
          <w:rFonts w:ascii="Arial" w:hAnsi="Arial" w:cs="Arial"/>
        </w:rPr>
        <w:t>assistance</w:t>
      </w:r>
      <w:r w:rsidR="005A245B" w:rsidRPr="005A245B">
        <w:rPr>
          <w:rFonts w:ascii="Arial" w:hAnsi="Arial" w:cs="Arial"/>
        </w:rPr>
        <w:t xml:space="preserve"> </w:t>
      </w:r>
      <w:r w:rsidR="005A245B">
        <w:rPr>
          <w:rFonts w:ascii="Arial" w:hAnsi="Arial" w:cs="Arial"/>
        </w:rPr>
        <w:t>of any state</w:t>
      </w:r>
      <w:r w:rsidR="009A384E">
        <w:rPr>
          <w:rFonts w:ascii="Arial" w:hAnsi="Arial" w:cs="Arial"/>
        </w:rPr>
        <w:t xml:space="preserve">.  According to the United States Department of Agriculture, Food and Nutrition Service (FNS), only 51 percent of eligible </w:t>
      </w:r>
      <w:r w:rsidR="005A245B">
        <w:rPr>
          <w:rFonts w:ascii="Arial" w:hAnsi="Arial" w:cs="Arial"/>
        </w:rPr>
        <w:t>individuals</w:t>
      </w:r>
      <w:r w:rsidR="009A384E">
        <w:rPr>
          <w:rFonts w:ascii="Arial" w:hAnsi="Arial" w:cs="Arial"/>
        </w:rPr>
        <w:t xml:space="preserve"> participated in </w:t>
      </w:r>
      <w:r w:rsidR="009A384E" w:rsidRPr="00C96DE3">
        <w:rPr>
          <w:rFonts w:ascii="Arial" w:hAnsi="Arial" w:cs="Arial"/>
        </w:rPr>
        <w:t>CalFresh</w:t>
      </w:r>
      <w:r w:rsidR="009A384E">
        <w:rPr>
          <w:rFonts w:ascii="Arial" w:hAnsi="Arial" w:cs="Arial"/>
        </w:rPr>
        <w:t xml:space="preserve">, California’s version of the </w:t>
      </w:r>
      <w:r w:rsidR="009A384E" w:rsidRPr="009A384E">
        <w:rPr>
          <w:rFonts w:ascii="Arial" w:hAnsi="Arial" w:cs="Arial"/>
        </w:rPr>
        <w:t>Supplemental Nutrition Assistance Program</w:t>
      </w:r>
      <w:r w:rsidRPr="00C96DE3">
        <w:rPr>
          <w:rFonts w:ascii="Arial" w:hAnsi="Arial" w:cs="Arial"/>
        </w:rPr>
        <w:t xml:space="preserve"> (SNAP)</w:t>
      </w:r>
      <w:r w:rsidR="007E57A4">
        <w:rPr>
          <w:rFonts w:ascii="Arial" w:hAnsi="Arial" w:cs="Arial"/>
        </w:rPr>
        <w:t>,</w:t>
      </w:r>
      <w:r w:rsidR="009A384E">
        <w:rPr>
          <w:rFonts w:ascii="Arial" w:hAnsi="Arial" w:cs="Arial"/>
        </w:rPr>
        <w:t xml:space="preserve"> in 2012</w:t>
      </w:r>
      <w:r w:rsidRPr="00C96DE3">
        <w:rPr>
          <w:rFonts w:ascii="Arial" w:hAnsi="Arial" w:cs="Arial"/>
        </w:rPr>
        <w:t>.</w:t>
      </w:r>
      <w:r w:rsidR="009A384E" w:rsidRPr="00C96DE3">
        <w:rPr>
          <w:rStyle w:val="FootnoteReference"/>
          <w:rFonts w:ascii="Arial" w:hAnsi="Arial" w:cs="Arial"/>
        </w:rPr>
        <w:footnoteReference w:id="1"/>
      </w:r>
      <w:r w:rsidRPr="00C96DE3">
        <w:rPr>
          <w:rFonts w:ascii="Arial" w:hAnsi="Arial" w:cs="Arial"/>
        </w:rPr>
        <w:t xml:space="preserve">  </w:t>
      </w:r>
      <w:r w:rsidR="00754E03">
        <w:rPr>
          <w:rFonts w:ascii="Arial" w:hAnsi="Arial" w:cs="Arial"/>
        </w:rPr>
        <w:t>By this measure, the state failed to provide CalFresh to approximately 3.9</w:t>
      </w:r>
      <w:r w:rsidRPr="00C96DE3">
        <w:rPr>
          <w:rFonts w:ascii="Arial" w:hAnsi="Arial" w:cs="Arial"/>
        </w:rPr>
        <w:t xml:space="preserve"> million eligible Californians</w:t>
      </w:r>
      <w:r w:rsidR="00586367">
        <w:rPr>
          <w:rFonts w:ascii="Arial" w:hAnsi="Arial" w:cs="Arial"/>
        </w:rPr>
        <w:t>.  However, t</w:t>
      </w:r>
      <w:r w:rsidR="00754E03">
        <w:rPr>
          <w:rFonts w:ascii="Arial" w:hAnsi="Arial" w:cs="Arial"/>
        </w:rPr>
        <w:t>h</w:t>
      </w:r>
      <w:r w:rsidRPr="00C96DE3">
        <w:rPr>
          <w:rFonts w:ascii="Arial" w:hAnsi="Arial" w:cs="Arial"/>
        </w:rPr>
        <w:t>ose statistics do not account for the</w:t>
      </w:r>
      <w:r w:rsidR="005B0198">
        <w:rPr>
          <w:rFonts w:ascii="Arial" w:hAnsi="Arial" w:cs="Arial"/>
        </w:rPr>
        <w:t xml:space="preserve"> substantial share of otherwise</w:t>
      </w:r>
      <w:r w:rsidR="005B0198">
        <w:rPr>
          <w:rFonts w:ascii="Arial" w:hAnsi="Arial" w:cs="Arial"/>
        </w:rPr>
        <w:noBreakHyphen/>
      </w:r>
      <w:r w:rsidRPr="00C96DE3">
        <w:rPr>
          <w:rFonts w:ascii="Arial" w:hAnsi="Arial" w:cs="Arial"/>
        </w:rPr>
        <w:t xml:space="preserve">eligible residents who </w:t>
      </w:r>
      <w:r w:rsidR="00355F49" w:rsidRPr="00C96DE3">
        <w:rPr>
          <w:rFonts w:ascii="Arial" w:hAnsi="Arial" w:cs="Arial"/>
        </w:rPr>
        <w:t xml:space="preserve">cannot participate </w:t>
      </w:r>
      <w:r w:rsidR="00355F49">
        <w:rPr>
          <w:rFonts w:ascii="Arial" w:hAnsi="Arial" w:cs="Arial"/>
        </w:rPr>
        <w:t>due to</w:t>
      </w:r>
      <w:r w:rsidR="00960192" w:rsidRPr="00C96DE3">
        <w:rPr>
          <w:rFonts w:ascii="Arial" w:hAnsi="Arial" w:cs="Arial"/>
        </w:rPr>
        <w:t xml:space="preserve"> </w:t>
      </w:r>
      <w:r w:rsidR="005B0198">
        <w:rPr>
          <w:rFonts w:ascii="Arial" w:hAnsi="Arial" w:cs="Arial"/>
        </w:rPr>
        <w:t>their immigration status</w:t>
      </w:r>
      <w:r w:rsidRPr="00C96DE3">
        <w:rPr>
          <w:rFonts w:ascii="Arial" w:hAnsi="Arial" w:cs="Arial"/>
        </w:rPr>
        <w:t xml:space="preserve">. </w:t>
      </w:r>
      <w:r w:rsidR="004B25B7" w:rsidRPr="00C96DE3">
        <w:rPr>
          <w:rFonts w:ascii="Arial" w:hAnsi="Arial" w:cs="Arial"/>
        </w:rPr>
        <w:t xml:space="preserve"> </w:t>
      </w:r>
      <w:r w:rsidR="00070801">
        <w:rPr>
          <w:rFonts w:ascii="Arial" w:hAnsi="Arial" w:cs="Arial"/>
        </w:rPr>
        <w:t xml:space="preserve">In addition, </w:t>
      </w:r>
      <w:r w:rsidR="00070801" w:rsidRPr="00070801">
        <w:rPr>
          <w:rFonts w:ascii="Arial" w:hAnsi="Arial" w:cs="Arial"/>
        </w:rPr>
        <w:t>county</w:t>
      </w:r>
      <w:r w:rsidR="00070801" w:rsidRPr="00070801">
        <w:rPr>
          <w:rFonts w:ascii="Arial" w:hAnsi="Arial" w:cs="Arial"/>
        </w:rPr>
        <w:noBreakHyphen/>
        <w:t xml:space="preserve">level data developed by the California Food Policy Advocates </w:t>
      </w:r>
      <w:r w:rsidR="00CF5541">
        <w:rPr>
          <w:rFonts w:ascii="Arial" w:hAnsi="Arial" w:cs="Arial"/>
        </w:rPr>
        <w:t xml:space="preserve">(CFPA) </w:t>
      </w:r>
      <w:r w:rsidR="00070801" w:rsidRPr="00070801">
        <w:rPr>
          <w:rFonts w:ascii="Arial" w:hAnsi="Arial" w:cs="Arial"/>
        </w:rPr>
        <w:t>show</w:t>
      </w:r>
      <w:r w:rsidR="00973F6A">
        <w:rPr>
          <w:rFonts w:ascii="Arial" w:hAnsi="Arial" w:cs="Arial"/>
        </w:rPr>
        <w:t>s</w:t>
      </w:r>
      <w:r w:rsidR="00070801" w:rsidRPr="00070801">
        <w:rPr>
          <w:rFonts w:ascii="Arial" w:hAnsi="Arial" w:cs="Arial"/>
        </w:rPr>
        <w:t xml:space="preserve"> that </w:t>
      </w:r>
      <w:r w:rsidR="00973F6A">
        <w:rPr>
          <w:rFonts w:ascii="Arial" w:hAnsi="Arial" w:cs="Arial"/>
        </w:rPr>
        <w:t xml:space="preserve">CalFresh </w:t>
      </w:r>
      <w:r w:rsidR="00070801" w:rsidRPr="00070801">
        <w:rPr>
          <w:rFonts w:ascii="Arial" w:hAnsi="Arial" w:cs="Arial"/>
        </w:rPr>
        <w:t>participation rates vary considerably among California’s counties.</w:t>
      </w:r>
      <w:r w:rsidR="00254763">
        <w:rPr>
          <w:rStyle w:val="FootnoteReference"/>
          <w:rFonts w:ascii="Arial" w:hAnsi="Arial" w:cs="Arial"/>
        </w:rPr>
        <w:footnoteReference w:id="2"/>
      </w:r>
      <w:r w:rsidR="00070801">
        <w:rPr>
          <w:rFonts w:ascii="Times New Roman" w:hAnsi="Times New Roman" w:cs="Times New Roman"/>
          <w:sz w:val="24"/>
          <w:szCs w:val="24"/>
        </w:rPr>
        <w:t xml:space="preserve">  </w:t>
      </w:r>
      <w:r w:rsidR="00BC1985">
        <w:rPr>
          <w:rFonts w:ascii="Arial" w:hAnsi="Arial" w:cs="Arial"/>
        </w:rPr>
        <w:t xml:space="preserve"> </w:t>
      </w:r>
    </w:p>
    <w:p w:rsidR="00070801" w:rsidRDefault="00070801" w:rsidP="00007C4B">
      <w:pPr>
        <w:spacing w:after="0" w:line="240" w:lineRule="auto"/>
        <w:rPr>
          <w:rFonts w:ascii="Arial" w:hAnsi="Arial" w:cs="Arial"/>
        </w:rPr>
      </w:pPr>
    </w:p>
    <w:p w:rsidR="00007C4B" w:rsidRDefault="00960192" w:rsidP="00007C4B">
      <w:pPr>
        <w:spacing w:after="0" w:line="240" w:lineRule="auto"/>
        <w:rPr>
          <w:rFonts w:ascii="Arial" w:hAnsi="Arial" w:cs="Arial"/>
        </w:rPr>
      </w:pPr>
      <w:r w:rsidRPr="00C96DE3">
        <w:rPr>
          <w:rFonts w:ascii="Arial" w:hAnsi="Arial" w:cs="Arial"/>
        </w:rPr>
        <w:t>T</w:t>
      </w:r>
      <w:r w:rsidR="006271F4">
        <w:rPr>
          <w:rFonts w:ascii="Arial" w:hAnsi="Arial" w:cs="Arial"/>
        </w:rPr>
        <w:t xml:space="preserve">o better understand the true </w:t>
      </w:r>
      <w:r w:rsidR="009542BE">
        <w:rPr>
          <w:rFonts w:ascii="Arial" w:hAnsi="Arial" w:cs="Arial"/>
        </w:rPr>
        <w:t xml:space="preserve">CalFresh </w:t>
      </w:r>
      <w:r w:rsidR="006271F4">
        <w:rPr>
          <w:rFonts w:ascii="Arial" w:hAnsi="Arial" w:cs="Arial"/>
        </w:rPr>
        <w:t>participation rate for eligible individuals and households, t</w:t>
      </w:r>
      <w:r w:rsidRPr="00C96DE3">
        <w:rPr>
          <w:rFonts w:ascii="Arial" w:hAnsi="Arial" w:cs="Arial"/>
        </w:rPr>
        <w:t>he</w:t>
      </w:r>
      <w:r w:rsidR="00007C4B" w:rsidRPr="00C96DE3">
        <w:rPr>
          <w:rFonts w:ascii="Arial" w:hAnsi="Arial" w:cs="Arial"/>
        </w:rPr>
        <w:t xml:space="preserve"> California Department of Social Services (CDSS) </w:t>
      </w:r>
      <w:r w:rsidR="009542BE">
        <w:rPr>
          <w:rFonts w:ascii="Arial" w:hAnsi="Arial" w:cs="Arial"/>
        </w:rPr>
        <w:t>has developed</w:t>
      </w:r>
      <w:r w:rsidR="00D5578A" w:rsidRPr="00C96DE3">
        <w:rPr>
          <w:rFonts w:ascii="Arial" w:hAnsi="Arial" w:cs="Arial"/>
        </w:rPr>
        <w:t xml:space="preserve"> a participation measure that takes the ineligibility of undocumented persons into account.</w:t>
      </w:r>
      <w:r w:rsidR="00D5578A">
        <w:rPr>
          <w:rFonts w:ascii="Arial" w:hAnsi="Arial" w:cs="Arial"/>
        </w:rPr>
        <w:t xml:space="preserve">  T</w:t>
      </w:r>
      <w:r w:rsidR="00C95873">
        <w:rPr>
          <w:rFonts w:ascii="Arial" w:hAnsi="Arial" w:cs="Arial"/>
        </w:rPr>
        <w:t xml:space="preserve">he </w:t>
      </w:r>
      <w:r w:rsidR="00D5578A">
        <w:rPr>
          <w:rFonts w:ascii="Arial" w:hAnsi="Arial" w:cs="Arial"/>
        </w:rPr>
        <w:t xml:space="preserve">CDSS </w:t>
      </w:r>
      <w:r w:rsidR="00C95873">
        <w:rPr>
          <w:rFonts w:ascii="Arial" w:hAnsi="Arial" w:cs="Arial"/>
        </w:rPr>
        <w:t xml:space="preserve">is also interested </w:t>
      </w:r>
      <w:r w:rsidR="00AD16D3">
        <w:rPr>
          <w:rFonts w:ascii="Arial" w:hAnsi="Arial" w:cs="Arial"/>
        </w:rPr>
        <w:t xml:space="preserve">in </w:t>
      </w:r>
      <w:r w:rsidR="00C95873">
        <w:rPr>
          <w:rFonts w:ascii="Arial" w:hAnsi="Arial" w:cs="Arial"/>
        </w:rPr>
        <w:t>c</w:t>
      </w:r>
      <w:r w:rsidR="008A082D" w:rsidRPr="006A2637">
        <w:rPr>
          <w:rFonts w:ascii="Arial" w:hAnsi="Arial" w:cs="Arial"/>
        </w:rPr>
        <w:t>onduct</w:t>
      </w:r>
      <w:r w:rsidR="00C95873">
        <w:rPr>
          <w:rFonts w:ascii="Arial" w:hAnsi="Arial" w:cs="Arial"/>
        </w:rPr>
        <w:t>ing</w:t>
      </w:r>
      <w:r w:rsidR="008A082D" w:rsidRPr="006A2637">
        <w:rPr>
          <w:rFonts w:ascii="Arial" w:hAnsi="Arial" w:cs="Arial"/>
        </w:rPr>
        <w:t xml:space="preserve"> a spatial analysis of CalFresh participation using geocoding to </w:t>
      </w:r>
      <w:r w:rsidR="008A082D" w:rsidRPr="006A2637">
        <w:rPr>
          <w:rFonts w:ascii="Arial" w:eastAsiaTheme="minorEastAsia" w:hAnsi="Arial" w:cs="Arial"/>
          <w:kern w:val="24"/>
        </w:rPr>
        <w:t xml:space="preserve">identify where potential </w:t>
      </w:r>
      <w:r w:rsidR="009542BE">
        <w:rPr>
          <w:rFonts w:ascii="Arial" w:eastAsiaTheme="minorEastAsia" w:hAnsi="Arial" w:cs="Arial"/>
          <w:kern w:val="24"/>
        </w:rPr>
        <w:t>non</w:t>
      </w:r>
      <w:r w:rsidR="009542BE">
        <w:rPr>
          <w:rFonts w:ascii="Arial" w:eastAsiaTheme="minorEastAsia" w:hAnsi="Arial" w:cs="Arial"/>
          <w:kern w:val="24"/>
        </w:rPr>
        <w:noBreakHyphen/>
        <w:t>participating</w:t>
      </w:r>
      <w:r w:rsidR="008A082D" w:rsidRPr="006A2637">
        <w:rPr>
          <w:rFonts w:ascii="Arial" w:eastAsiaTheme="minorEastAsia" w:hAnsi="Arial" w:cs="Arial"/>
          <w:kern w:val="24"/>
        </w:rPr>
        <w:t xml:space="preserve"> eligibles reside,</w:t>
      </w:r>
      <w:r w:rsidR="008A082D">
        <w:rPr>
          <w:rFonts w:ascii="Arial" w:eastAsiaTheme="minorEastAsia" w:hAnsi="Arial" w:cs="Arial"/>
          <w:kern w:val="24"/>
        </w:rPr>
        <w:t xml:space="preserve"> w</w:t>
      </w:r>
      <w:r w:rsidR="008A082D" w:rsidRPr="006A2637">
        <w:rPr>
          <w:rFonts w:ascii="Arial" w:eastAsiaTheme="minorEastAsia" w:hAnsi="Arial" w:cs="Arial"/>
          <w:kern w:val="24"/>
        </w:rPr>
        <w:t>here CalFresh reach is low</w:t>
      </w:r>
      <w:r w:rsidR="008A082D">
        <w:rPr>
          <w:rFonts w:ascii="Arial" w:eastAsiaTheme="minorEastAsia" w:hAnsi="Arial" w:cs="Arial"/>
          <w:kern w:val="24"/>
        </w:rPr>
        <w:t xml:space="preserve"> and</w:t>
      </w:r>
      <w:r w:rsidR="008A082D" w:rsidRPr="006A2637">
        <w:rPr>
          <w:rFonts w:ascii="Arial" w:eastAsiaTheme="minorEastAsia" w:hAnsi="Arial" w:cs="Arial"/>
          <w:kern w:val="24"/>
        </w:rPr>
        <w:t xml:space="preserve"> where more effective and targeted outreach strategies could be directed</w:t>
      </w:r>
      <w:r w:rsidR="00C95873">
        <w:rPr>
          <w:rFonts w:ascii="Arial" w:eastAsiaTheme="minorEastAsia" w:hAnsi="Arial" w:cs="Arial"/>
          <w:kern w:val="24"/>
        </w:rPr>
        <w:t>; ad</w:t>
      </w:r>
      <w:r w:rsidR="00C95873">
        <w:rPr>
          <w:rFonts w:ascii="Arial" w:hAnsi="Arial" w:cs="Arial"/>
        </w:rPr>
        <w:t>vancing</w:t>
      </w:r>
      <w:r w:rsidR="008A082D">
        <w:rPr>
          <w:rFonts w:ascii="Arial" w:hAnsi="Arial" w:cs="Arial"/>
        </w:rPr>
        <w:t xml:space="preserve"> </w:t>
      </w:r>
      <w:r w:rsidR="008A082D" w:rsidRPr="00A05E9D">
        <w:rPr>
          <w:rFonts w:ascii="Arial" w:hAnsi="Arial" w:cs="Arial"/>
        </w:rPr>
        <w:t xml:space="preserve">understanding of differences in </w:t>
      </w:r>
      <w:r w:rsidR="008A082D">
        <w:rPr>
          <w:rFonts w:ascii="Arial" w:hAnsi="Arial" w:cs="Arial"/>
        </w:rPr>
        <w:t>and barriers to CalFresh access</w:t>
      </w:r>
      <w:r w:rsidR="008A082D" w:rsidRPr="006901AC">
        <w:rPr>
          <w:rFonts w:ascii="Arial" w:hAnsi="Arial" w:cs="Arial"/>
        </w:rPr>
        <w:t xml:space="preserve"> </w:t>
      </w:r>
      <w:r w:rsidR="008A082D">
        <w:rPr>
          <w:rFonts w:ascii="Arial" w:hAnsi="Arial" w:cs="Arial"/>
        </w:rPr>
        <w:t>by examining</w:t>
      </w:r>
      <w:r w:rsidR="008A082D" w:rsidRPr="00A05E9D">
        <w:rPr>
          <w:rFonts w:ascii="Arial" w:hAnsi="Arial" w:cs="Arial"/>
        </w:rPr>
        <w:t xml:space="preserve"> </w:t>
      </w:r>
      <w:r w:rsidR="008A082D">
        <w:rPr>
          <w:rFonts w:ascii="Arial" w:hAnsi="Arial" w:cs="Arial"/>
        </w:rPr>
        <w:t>spatial variations</w:t>
      </w:r>
      <w:r w:rsidR="008A082D" w:rsidRPr="00A05E9D">
        <w:rPr>
          <w:rFonts w:ascii="Arial" w:hAnsi="Arial" w:cs="Arial"/>
        </w:rPr>
        <w:t xml:space="preserve"> i</w:t>
      </w:r>
      <w:r w:rsidR="008A082D">
        <w:rPr>
          <w:rFonts w:ascii="Arial" w:hAnsi="Arial" w:cs="Arial"/>
        </w:rPr>
        <w:t>n participation at census tract, Zip code and intra</w:t>
      </w:r>
      <w:r w:rsidR="008A082D">
        <w:rPr>
          <w:rFonts w:ascii="Arial" w:hAnsi="Arial" w:cs="Arial"/>
        </w:rPr>
        <w:noBreakHyphen/>
        <w:t xml:space="preserve">county regional </w:t>
      </w:r>
      <w:r w:rsidR="008A082D" w:rsidRPr="00A05E9D">
        <w:rPr>
          <w:rFonts w:ascii="Arial" w:hAnsi="Arial" w:cs="Arial"/>
        </w:rPr>
        <w:t>lev</w:t>
      </w:r>
      <w:r w:rsidR="008A082D">
        <w:rPr>
          <w:rFonts w:ascii="Arial" w:hAnsi="Arial" w:cs="Arial"/>
        </w:rPr>
        <w:t>els</w:t>
      </w:r>
      <w:r w:rsidR="00C95873">
        <w:rPr>
          <w:rFonts w:ascii="Arial" w:hAnsi="Arial" w:cs="Arial"/>
        </w:rPr>
        <w:t>; and creating tools to identify</w:t>
      </w:r>
      <w:r w:rsidR="008A082D" w:rsidRPr="00A05E9D">
        <w:rPr>
          <w:rFonts w:ascii="Arial" w:hAnsi="Arial" w:cs="Arial"/>
        </w:rPr>
        <w:t xml:space="preserve"> population subgroups currently receiving benefits at below</w:t>
      </w:r>
      <w:r w:rsidR="008A082D">
        <w:rPr>
          <w:rFonts w:ascii="Arial" w:hAnsi="Arial" w:cs="Arial"/>
        </w:rPr>
        <w:noBreakHyphen/>
      </w:r>
      <w:r w:rsidR="008A082D" w:rsidRPr="00A05E9D">
        <w:rPr>
          <w:rFonts w:ascii="Arial" w:hAnsi="Arial" w:cs="Arial"/>
        </w:rPr>
        <w:t>expected levels.</w:t>
      </w:r>
    </w:p>
    <w:p w:rsidR="00DC7E65" w:rsidRDefault="00DC7E65" w:rsidP="00007C4B">
      <w:pPr>
        <w:spacing w:after="0" w:line="240" w:lineRule="auto"/>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9F0450" w:rsidRPr="00F92938" w:rsidTr="00627223">
        <w:tc>
          <w:tcPr>
            <w:tcW w:w="9576" w:type="dxa"/>
          </w:tcPr>
          <w:p w:rsidR="00F92938" w:rsidRPr="008A2035" w:rsidRDefault="00C27C85" w:rsidP="00B64BC9">
            <w:pPr>
              <w:spacing w:before="240"/>
              <w:jc w:val="center"/>
              <w:rPr>
                <w:rFonts w:ascii="Arial" w:hAnsi="Arial" w:cs="Arial"/>
                <w:b/>
                <w:sz w:val="24"/>
                <w:szCs w:val="24"/>
              </w:rPr>
            </w:pPr>
            <w:r w:rsidRPr="008A2035">
              <w:rPr>
                <w:rFonts w:ascii="Arial" w:hAnsi="Arial" w:cs="Arial"/>
                <w:b/>
                <w:sz w:val="24"/>
                <w:szCs w:val="24"/>
              </w:rPr>
              <w:t xml:space="preserve">Who is eligible for </w:t>
            </w:r>
            <w:r w:rsidR="00F92938" w:rsidRPr="008A2035">
              <w:rPr>
                <w:rFonts w:ascii="Arial" w:hAnsi="Arial" w:cs="Arial"/>
                <w:b/>
                <w:sz w:val="24"/>
                <w:szCs w:val="24"/>
              </w:rPr>
              <w:t>CalFresh?</w:t>
            </w:r>
          </w:p>
          <w:p w:rsidR="00C27C85" w:rsidRPr="008A2035" w:rsidRDefault="00C27C85" w:rsidP="00B64BC9">
            <w:pPr>
              <w:jc w:val="center"/>
              <w:rPr>
                <w:rFonts w:ascii="Arial" w:eastAsia="Times New Roman" w:hAnsi="Arial" w:cs="Arial"/>
                <w:sz w:val="24"/>
                <w:szCs w:val="24"/>
              </w:rPr>
            </w:pPr>
          </w:p>
          <w:p w:rsidR="009F0450" w:rsidRPr="008A2035" w:rsidRDefault="009F0450" w:rsidP="00B64BC9">
            <w:pPr>
              <w:rPr>
                <w:rFonts w:ascii="Arial" w:eastAsia="Times New Roman" w:hAnsi="Arial" w:cs="Arial"/>
                <w:sz w:val="24"/>
                <w:szCs w:val="24"/>
              </w:rPr>
            </w:pPr>
            <w:r w:rsidRPr="008A2035">
              <w:rPr>
                <w:rFonts w:ascii="Arial" w:eastAsia="Times New Roman" w:hAnsi="Arial" w:cs="Arial"/>
                <w:sz w:val="24"/>
                <w:szCs w:val="24"/>
              </w:rPr>
              <w:t xml:space="preserve">A CalFresh household consists of individuals who live and purchase and prepare food together.  Household eligibility is determined by income.  The gross income limit is </w:t>
            </w:r>
            <w:r w:rsidR="00C10368">
              <w:rPr>
                <w:rFonts w:ascii="Arial" w:eastAsia="Times New Roman" w:hAnsi="Arial" w:cs="Arial"/>
                <w:sz w:val="24"/>
                <w:szCs w:val="24"/>
              </w:rPr>
              <w:t>200</w:t>
            </w:r>
            <w:r w:rsidRPr="008A2035">
              <w:rPr>
                <w:rFonts w:ascii="Arial" w:eastAsia="Times New Roman" w:hAnsi="Arial" w:cs="Arial"/>
                <w:sz w:val="24"/>
                <w:szCs w:val="24"/>
              </w:rPr>
              <w:t>% of FPL ($</w:t>
            </w:r>
            <w:r w:rsidR="00627223">
              <w:rPr>
                <w:rFonts w:ascii="Arial" w:eastAsia="Times New Roman" w:hAnsi="Arial" w:cs="Arial"/>
                <w:sz w:val="24"/>
                <w:szCs w:val="24"/>
              </w:rPr>
              <w:t>3</w:t>
            </w:r>
            <w:r w:rsidRPr="008A2035">
              <w:rPr>
                <w:rFonts w:ascii="Arial" w:eastAsia="Times New Roman" w:hAnsi="Arial" w:cs="Arial"/>
                <w:sz w:val="24"/>
                <w:szCs w:val="24"/>
              </w:rPr>
              <w:t>,</w:t>
            </w:r>
            <w:r w:rsidR="00627223">
              <w:rPr>
                <w:rFonts w:ascii="Arial" w:eastAsia="Times New Roman" w:hAnsi="Arial" w:cs="Arial"/>
                <w:sz w:val="24"/>
                <w:szCs w:val="24"/>
              </w:rPr>
              <w:t>255</w:t>
            </w:r>
            <w:r w:rsidRPr="008A2035">
              <w:rPr>
                <w:rFonts w:ascii="Arial" w:eastAsia="Times New Roman" w:hAnsi="Arial" w:cs="Arial"/>
                <w:sz w:val="24"/>
                <w:szCs w:val="24"/>
              </w:rPr>
              <w:t xml:space="preserve"> per month for a household of three in 201</w:t>
            </w:r>
            <w:r w:rsidR="00627223">
              <w:rPr>
                <w:rFonts w:ascii="Arial" w:eastAsia="Times New Roman" w:hAnsi="Arial" w:cs="Arial"/>
                <w:sz w:val="24"/>
                <w:szCs w:val="24"/>
              </w:rPr>
              <w:t>5</w:t>
            </w:r>
            <w:r w:rsidRPr="008A2035">
              <w:rPr>
                <w:rFonts w:ascii="Arial" w:eastAsia="Times New Roman" w:hAnsi="Arial" w:cs="Arial"/>
                <w:sz w:val="24"/>
                <w:szCs w:val="24"/>
              </w:rPr>
              <w:t>) and the net income limit, after deductions for expenses such as child care, is 100% of FPL ($1,</w:t>
            </w:r>
            <w:r w:rsidR="00C10368">
              <w:rPr>
                <w:rFonts w:ascii="Arial" w:eastAsia="Times New Roman" w:hAnsi="Arial" w:cs="Arial"/>
                <w:sz w:val="24"/>
                <w:szCs w:val="24"/>
              </w:rPr>
              <w:t>675</w:t>
            </w:r>
            <w:r w:rsidRPr="008A2035">
              <w:rPr>
                <w:rFonts w:ascii="Arial" w:eastAsia="Times New Roman" w:hAnsi="Arial" w:cs="Arial"/>
                <w:sz w:val="24"/>
                <w:szCs w:val="24"/>
              </w:rPr>
              <w:t xml:space="preserve"> per month for a household of three in 201</w:t>
            </w:r>
            <w:r w:rsidR="00C10368">
              <w:rPr>
                <w:rFonts w:ascii="Arial" w:eastAsia="Times New Roman" w:hAnsi="Arial" w:cs="Arial"/>
                <w:sz w:val="24"/>
                <w:szCs w:val="24"/>
              </w:rPr>
              <w:t>5</w:t>
            </w:r>
            <w:r w:rsidRPr="008A2035">
              <w:rPr>
                <w:rFonts w:ascii="Arial" w:eastAsia="Times New Roman" w:hAnsi="Arial" w:cs="Arial"/>
                <w:sz w:val="24"/>
                <w:szCs w:val="24"/>
              </w:rPr>
              <w:t>).  There are no limits for the value of a household’s assets.</w:t>
            </w:r>
          </w:p>
          <w:p w:rsidR="009F0450" w:rsidRDefault="00F92938" w:rsidP="00B64BC9">
            <w:pPr>
              <w:spacing w:before="240"/>
              <w:rPr>
                <w:rFonts w:ascii="Arial" w:eastAsia="Times New Roman" w:hAnsi="Arial" w:cs="Arial"/>
                <w:sz w:val="24"/>
                <w:szCs w:val="24"/>
              </w:rPr>
            </w:pPr>
            <w:r w:rsidRPr="008A2035">
              <w:rPr>
                <w:rFonts w:ascii="Arial" w:eastAsia="Times New Roman" w:hAnsi="Arial" w:cs="Arial"/>
                <w:sz w:val="24"/>
                <w:szCs w:val="24"/>
              </w:rPr>
              <w:t>Since 1975, individuals receiving Supplemental Security Income/State Supplementary Payment (SSI/SSP) assistance have been ineligible for CalFresh.  Individuals convicted of certain drug felonies, some college students and individuals with neither U.S. citizenship nor qualified legal immigrant status are also ineligible.</w:t>
            </w:r>
            <w:r w:rsidRPr="008A2035">
              <w:rPr>
                <w:rStyle w:val="FootnoteReference"/>
                <w:rFonts w:ascii="Arial" w:eastAsia="Times New Roman" w:hAnsi="Arial" w:cs="Arial"/>
                <w:sz w:val="24"/>
                <w:szCs w:val="24"/>
              </w:rPr>
              <w:footnoteReference w:id="3"/>
            </w:r>
          </w:p>
          <w:p w:rsidR="00B64BC9" w:rsidRPr="001579F7" w:rsidRDefault="00B64BC9" w:rsidP="00B64BC9">
            <w:pPr>
              <w:spacing w:before="240"/>
              <w:rPr>
                <w:rFonts w:ascii="Arial" w:eastAsia="Times New Roman" w:hAnsi="Arial" w:cs="Arial"/>
                <w:sz w:val="20"/>
                <w:szCs w:val="20"/>
              </w:rPr>
            </w:pPr>
          </w:p>
        </w:tc>
      </w:tr>
    </w:tbl>
    <w:p w:rsidR="00627223" w:rsidRPr="00627223" w:rsidRDefault="00627223" w:rsidP="00627223">
      <w:pPr>
        <w:autoSpaceDE w:val="0"/>
        <w:autoSpaceDN w:val="0"/>
        <w:adjustRightInd w:val="0"/>
        <w:contextualSpacing/>
        <w:rPr>
          <w:rFonts w:ascii="Arial" w:hAnsi="Arial" w:cs="Arial"/>
          <w:b/>
        </w:rPr>
      </w:pPr>
    </w:p>
    <w:p w:rsidR="0048273C" w:rsidRDefault="0048273C" w:rsidP="00C27C85">
      <w:pPr>
        <w:spacing w:after="0" w:line="240" w:lineRule="auto"/>
        <w:rPr>
          <w:rFonts w:ascii="Arial" w:hAnsi="Arial" w:cs="Arial"/>
          <w:b/>
        </w:rPr>
      </w:pPr>
    </w:p>
    <w:p w:rsidR="00C27C85" w:rsidRDefault="00C27C85" w:rsidP="00C27C85">
      <w:pPr>
        <w:spacing w:after="0" w:line="240" w:lineRule="auto"/>
        <w:rPr>
          <w:rFonts w:ascii="Arial" w:hAnsi="Arial" w:cs="Arial"/>
          <w:b/>
        </w:rPr>
      </w:pPr>
      <w:r>
        <w:rPr>
          <w:rFonts w:ascii="Arial" w:hAnsi="Arial" w:cs="Arial"/>
          <w:b/>
        </w:rPr>
        <w:t>County-level correlates of CalFresh participation</w:t>
      </w:r>
    </w:p>
    <w:p w:rsidR="00C27C85" w:rsidRDefault="00C27C85" w:rsidP="00C27C85">
      <w:pPr>
        <w:spacing w:after="0" w:line="240" w:lineRule="auto"/>
        <w:rPr>
          <w:rFonts w:ascii="Arial" w:hAnsi="Arial" w:cs="Arial"/>
          <w:b/>
        </w:rPr>
      </w:pPr>
    </w:p>
    <w:p w:rsidR="00C27C85" w:rsidRDefault="00C27C85" w:rsidP="00C27C85">
      <w:pPr>
        <w:spacing w:after="0" w:line="240" w:lineRule="auto"/>
        <w:rPr>
          <w:rFonts w:ascii="Arial" w:hAnsi="Arial" w:cs="Arial"/>
        </w:rPr>
      </w:pPr>
      <w:r>
        <w:rPr>
          <w:rFonts w:ascii="Arial" w:hAnsi="Arial" w:cs="Arial"/>
        </w:rPr>
        <w:t>Initial investigations of factors that may explain county differences in CalFresh participation proved to be fruitless.  Neither unemployment nor poverty rates are strongly correlated with participation rates.  However, analysis of data on individuals speaking a language other than English</w:t>
      </w:r>
      <w:r w:rsidRPr="001579F7">
        <w:rPr>
          <w:rFonts w:ascii="Arial" w:hAnsi="Arial" w:cs="Arial"/>
        </w:rPr>
        <w:t xml:space="preserve"> </w:t>
      </w:r>
      <w:r>
        <w:rPr>
          <w:rFonts w:ascii="Arial" w:hAnsi="Arial" w:cs="Arial"/>
        </w:rPr>
        <w:t xml:space="preserve">pointed to the state’s population of low-income unauthorized immigrants as a likely component of differences in participation.  With one-quarter of all U.S. unauthorized immigrants </w:t>
      </w:r>
      <w:r>
        <w:rPr>
          <w:rFonts w:ascii="Arial" w:hAnsi="Arial" w:cs="Arial"/>
        </w:rPr>
        <w:lastRenderedPageBreak/>
        <w:t>living in California, inclusion of these individuals in the group assumed to be eligible for CalFresh would be misleading.</w:t>
      </w:r>
      <w:r>
        <w:rPr>
          <w:rStyle w:val="FootnoteReference"/>
          <w:rFonts w:ascii="Arial" w:hAnsi="Arial" w:cs="Arial"/>
        </w:rPr>
        <w:footnoteReference w:id="4"/>
      </w:r>
    </w:p>
    <w:p w:rsidR="00C27C85" w:rsidRDefault="00C27C85" w:rsidP="00C27C85">
      <w:pPr>
        <w:spacing w:after="0" w:line="240" w:lineRule="auto"/>
        <w:rPr>
          <w:rFonts w:ascii="Arial" w:hAnsi="Arial" w:cs="Arial"/>
        </w:rPr>
      </w:pPr>
    </w:p>
    <w:p w:rsidR="00C27C85" w:rsidRDefault="00C27C85" w:rsidP="00C27C85">
      <w:pPr>
        <w:spacing w:after="0" w:line="240" w:lineRule="auto"/>
        <w:rPr>
          <w:rFonts w:ascii="Arial" w:hAnsi="Arial" w:cs="Arial"/>
        </w:rPr>
      </w:pPr>
      <w:r>
        <w:rPr>
          <w:rFonts w:ascii="Arial" w:hAnsi="Arial" w:cs="Arial"/>
        </w:rPr>
        <w:t>While state</w:t>
      </w:r>
      <w:r>
        <w:rPr>
          <w:rFonts w:ascii="Arial" w:hAnsi="Arial" w:cs="Arial"/>
        </w:rPr>
        <w:noBreakHyphen/>
        <w:t>level estimates of the undocumented immigrant population are available from several sources and some county</w:t>
      </w:r>
      <w:r>
        <w:rPr>
          <w:rFonts w:ascii="Arial" w:hAnsi="Arial" w:cs="Arial"/>
        </w:rPr>
        <w:noBreakHyphen/>
        <w:t>level estimates have been published, below</w:t>
      </w:r>
      <w:r>
        <w:rPr>
          <w:rFonts w:ascii="Arial" w:hAnsi="Arial" w:cs="Arial"/>
        </w:rPr>
        <w:noBreakHyphen/>
        <w:t>county</w:t>
      </w:r>
      <w:r>
        <w:rPr>
          <w:rFonts w:ascii="Arial" w:hAnsi="Arial" w:cs="Arial"/>
        </w:rPr>
        <w:noBreakHyphen/>
        <w:t>level population estimates needed for this project were not a</w:t>
      </w:r>
      <w:r w:rsidR="00B06FD4">
        <w:rPr>
          <w:rFonts w:ascii="Arial" w:hAnsi="Arial" w:cs="Arial"/>
        </w:rPr>
        <w:t>vailable from existing surveys or research</w:t>
      </w:r>
      <w:r>
        <w:rPr>
          <w:rFonts w:ascii="Arial" w:hAnsi="Arial" w:cs="Arial"/>
        </w:rPr>
        <w:t>.</w:t>
      </w:r>
      <w:r>
        <w:rPr>
          <w:rStyle w:val="FootnoteReference"/>
          <w:rFonts w:ascii="Arial" w:hAnsi="Arial" w:cs="Arial"/>
        </w:rPr>
        <w:footnoteReference w:id="5"/>
      </w:r>
      <w:r w:rsidR="00B06FD4">
        <w:rPr>
          <w:rFonts w:ascii="Arial" w:hAnsi="Arial" w:cs="Arial"/>
        </w:rPr>
        <w:t xml:space="preserve">  To fill this gap, CDSS leveraged data on households in which children receive CalFresh benefits but adults do not.</w:t>
      </w:r>
      <w:r>
        <w:rPr>
          <w:rFonts w:ascii="Arial" w:hAnsi="Arial" w:cs="Arial"/>
        </w:rPr>
        <w:t xml:space="preserve">  </w:t>
      </w:r>
      <w:r w:rsidR="00A7142F">
        <w:rPr>
          <w:rFonts w:ascii="Arial" w:hAnsi="Arial" w:cs="Arial"/>
        </w:rPr>
        <w:t>One reason a CalFresh household could be “CalFresh child</w:t>
      </w:r>
      <w:r w:rsidR="00A7142F">
        <w:rPr>
          <w:rFonts w:ascii="Arial" w:hAnsi="Arial" w:cs="Arial"/>
        </w:rPr>
        <w:noBreakHyphen/>
        <w:t xml:space="preserve">only” (CCO) is that the adults are undocumented immigrants.  </w:t>
      </w:r>
      <w:r w:rsidR="00437A7F">
        <w:rPr>
          <w:rFonts w:ascii="Arial" w:hAnsi="Arial" w:cs="Arial"/>
        </w:rPr>
        <w:t>By developing an assumption about the share of CCO households that are child</w:t>
      </w:r>
      <w:r w:rsidR="00437A7F">
        <w:rPr>
          <w:rFonts w:ascii="Arial" w:hAnsi="Arial" w:cs="Arial"/>
        </w:rPr>
        <w:noBreakHyphen/>
        <w:t xml:space="preserve">only for a reason </w:t>
      </w:r>
      <w:r w:rsidR="00437A7F" w:rsidRPr="00437A7F">
        <w:rPr>
          <w:rFonts w:ascii="Arial" w:hAnsi="Arial" w:cs="Arial"/>
          <w:i/>
        </w:rPr>
        <w:t>other than</w:t>
      </w:r>
      <w:r w:rsidR="00437A7F">
        <w:rPr>
          <w:rFonts w:ascii="Arial" w:hAnsi="Arial" w:cs="Arial"/>
        </w:rPr>
        <w:t xml:space="preserve"> citizenship status, </w:t>
      </w:r>
      <w:r w:rsidR="00BC6989">
        <w:rPr>
          <w:rFonts w:ascii="Arial" w:hAnsi="Arial" w:cs="Arial"/>
        </w:rPr>
        <w:t>this methodology allows estimation of the number of undocumented immigrant adults in CCO households and the number of undocumented immigrant adults in CalFresh</w:t>
      </w:r>
      <w:r w:rsidR="00BC6989">
        <w:rPr>
          <w:rFonts w:ascii="Arial" w:hAnsi="Arial" w:cs="Arial"/>
        </w:rPr>
        <w:noBreakHyphen/>
        <w:t>eligible households without children, as described below.</w:t>
      </w:r>
      <w:r w:rsidR="00A7142F">
        <w:rPr>
          <w:rFonts w:ascii="Arial" w:hAnsi="Arial" w:cs="Arial"/>
        </w:rPr>
        <w:t xml:space="preserve">  </w:t>
      </w:r>
    </w:p>
    <w:p w:rsidR="00C27C85" w:rsidRDefault="00C27C85" w:rsidP="00C27C85">
      <w:pPr>
        <w:spacing w:after="0" w:line="240" w:lineRule="auto"/>
        <w:rPr>
          <w:rFonts w:ascii="Arial" w:hAnsi="Arial" w:cs="Arial"/>
        </w:rPr>
      </w:pPr>
    </w:p>
    <w:p w:rsidR="0048273C" w:rsidRDefault="0048273C" w:rsidP="00F52101">
      <w:pPr>
        <w:autoSpaceDE w:val="0"/>
        <w:autoSpaceDN w:val="0"/>
        <w:adjustRightInd w:val="0"/>
        <w:contextualSpacing/>
        <w:rPr>
          <w:rFonts w:ascii="Arial" w:hAnsi="Arial" w:cs="Arial"/>
          <w:b/>
        </w:rPr>
      </w:pPr>
    </w:p>
    <w:p w:rsidR="00C95873" w:rsidRDefault="00260F06" w:rsidP="00F52101">
      <w:pPr>
        <w:autoSpaceDE w:val="0"/>
        <w:autoSpaceDN w:val="0"/>
        <w:adjustRightInd w:val="0"/>
        <w:contextualSpacing/>
        <w:rPr>
          <w:rFonts w:ascii="Arial" w:hAnsi="Arial" w:cs="Arial"/>
          <w:b/>
        </w:rPr>
      </w:pPr>
      <w:r>
        <w:rPr>
          <w:rFonts w:ascii="Arial" w:hAnsi="Arial" w:cs="Arial"/>
          <w:b/>
        </w:rPr>
        <w:t>Existing measures of SNAP</w:t>
      </w:r>
      <w:r w:rsidR="00F36D61">
        <w:rPr>
          <w:rFonts w:ascii="Arial" w:hAnsi="Arial" w:cs="Arial"/>
          <w:b/>
        </w:rPr>
        <w:t>/CalFresh</w:t>
      </w:r>
      <w:r>
        <w:rPr>
          <w:rFonts w:ascii="Arial" w:hAnsi="Arial" w:cs="Arial"/>
          <w:b/>
        </w:rPr>
        <w:t xml:space="preserve"> program participation</w:t>
      </w:r>
    </w:p>
    <w:p w:rsidR="00F52101" w:rsidRDefault="00F52101" w:rsidP="00F52101">
      <w:pPr>
        <w:autoSpaceDE w:val="0"/>
        <w:autoSpaceDN w:val="0"/>
        <w:adjustRightInd w:val="0"/>
        <w:spacing w:after="0" w:line="240" w:lineRule="auto"/>
        <w:rPr>
          <w:rFonts w:ascii="Arial" w:hAnsi="Arial" w:cs="Arial"/>
        </w:rPr>
      </w:pPr>
    </w:p>
    <w:p w:rsidR="00F52101" w:rsidRPr="00260F06" w:rsidRDefault="00260F06" w:rsidP="00260F06">
      <w:pPr>
        <w:autoSpaceDE w:val="0"/>
        <w:autoSpaceDN w:val="0"/>
        <w:adjustRightInd w:val="0"/>
        <w:contextualSpacing/>
        <w:rPr>
          <w:rFonts w:ascii="Arial" w:hAnsi="Arial" w:cs="Arial"/>
        </w:rPr>
      </w:pPr>
      <w:r w:rsidRPr="00260F06">
        <w:rPr>
          <w:rFonts w:ascii="Arial" w:hAnsi="Arial" w:cs="Arial"/>
        </w:rPr>
        <w:t>The FNS Program Access Index (PAI)</w:t>
      </w:r>
      <w:r>
        <w:rPr>
          <w:rFonts w:ascii="Arial" w:hAnsi="Arial" w:cs="Arial"/>
        </w:rPr>
        <w:t xml:space="preserve"> </w:t>
      </w:r>
      <w:r w:rsidR="00F52101">
        <w:rPr>
          <w:rFonts w:ascii="Arial" w:eastAsiaTheme="minorEastAsia" w:hAnsi="Arial" w:cs="Arial"/>
          <w:color w:val="000000" w:themeColor="text1"/>
          <w:kern w:val="24"/>
        </w:rPr>
        <w:t xml:space="preserve">measures </w:t>
      </w:r>
      <w:r>
        <w:rPr>
          <w:rFonts w:ascii="Arial" w:eastAsiaTheme="minorEastAsia" w:hAnsi="Arial" w:cs="Arial"/>
          <w:color w:val="000000" w:themeColor="text1"/>
          <w:kern w:val="24"/>
        </w:rPr>
        <w:t>state</w:t>
      </w:r>
      <w:r>
        <w:rPr>
          <w:rFonts w:ascii="Arial" w:eastAsiaTheme="minorEastAsia" w:hAnsi="Arial" w:cs="Arial"/>
          <w:color w:val="000000" w:themeColor="text1"/>
          <w:kern w:val="24"/>
        </w:rPr>
        <w:noBreakHyphen/>
        <w:t xml:space="preserve">level </w:t>
      </w:r>
      <w:r w:rsidR="00F52101">
        <w:rPr>
          <w:rFonts w:ascii="Arial" w:eastAsiaTheme="minorEastAsia" w:hAnsi="Arial" w:cs="Arial"/>
          <w:color w:val="000000" w:themeColor="text1"/>
          <w:kern w:val="24"/>
        </w:rPr>
        <w:t xml:space="preserve">SNAP participation by low-income individuals </w:t>
      </w:r>
      <w:r>
        <w:rPr>
          <w:rFonts w:ascii="Arial" w:eastAsiaTheme="minorEastAsia" w:hAnsi="Arial" w:cs="Arial"/>
          <w:color w:val="000000" w:themeColor="text1"/>
          <w:kern w:val="24"/>
        </w:rPr>
        <w:t>using the following formula</w:t>
      </w:r>
      <w:r w:rsidR="00F52101" w:rsidRPr="00A05E9D">
        <w:rPr>
          <w:rFonts w:ascii="Arial" w:eastAsiaTheme="minorEastAsia" w:hAnsi="Arial" w:cs="Arial"/>
          <w:color w:val="000000" w:themeColor="text1"/>
          <w:kern w:val="24"/>
        </w:rPr>
        <w:t>:</w:t>
      </w:r>
      <w:r w:rsidR="00F52101" w:rsidRPr="00A05E9D">
        <w:rPr>
          <w:rFonts w:ascii="Arial" w:eastAsiaTheme="minorEastAsia" w:hAnsi="Arial" w:cs="Arial"/>
          <w:color w:val="000000" w:themeColor="text1"/>
          <w:kern w:val="24"/>
          <w:vertAlign w:val="superscript"/>
        </w:rPr>
        <w:footnoteReference w:id="6"/>
      </w:r>
      <w:r w:rsidR="00F52101" w:rsidRPr="00A05E9D">
        <w:rPr>
          <w:rFonts w:ascii="Arial" w:eastAsiaTheme="minorEastAsia" w:hAnsi="Arial" w:cs="Arial"/>
          <w:color w:val="000000" w:themeColor="text1"/>
          <w:kern w:val="24"/>
          <w:position w:val="11"/>
          <w:vertAlign w:val="superscript"/>
        </w:rPr>
        <w:t xml:space="preserve"> </w:t>
      </w:r>
    </w:p>
    <w:p w:rsidR="00CD1EBE" w:rsidRPr="00A05E9D" w:rsidRDefault="00CD1EBE" w:rsidP="00F52101">
      <w:pPr>
        <w:spacing w:after="0" w:line="240" w:lineRule="auto"/>
        <w:rPr>
          <w:rFonts w:ascii="Arial" w:eastAsiaTheme="minorEastAsia" w:hAnsi="Arial" w:cs="Arial"/>
          <w:color w:val="000000" w:themeColor="text1"/>
          <w:kern w:val="24"/>
          <w:position w:val="11"/>
          <w:vertAlign w:val="superscript"/>
        </w:rPr>
      </w:pPr>
    </w:p>
    <w:p w:rsidR="00F52101" w:rsidRPr="00A05E9D" w:rsidRDefault="00F52101" w:rsidP="00F52101">
      <w:pPr>
        <w:spacing w:after="0" w:line="240" w:lineRule="auto"/>
        <w:rPr>
          <w:rFonts w:ascii="Arial" w:eastAsia="Times New Roman" w:hAnsi="Arial" w:cs="Arial"/>
        </w:rPr>
      </w:pPr>
      <w:r w:rsidRPr="00A05E9D">
        <w:rPr>
          <w:rFonts w:ascii="Arial" w:hAnsi="Arial" w:cs="Arial"/>
          <w:noProof/>
        </w:rPr>
        <mc:AlternateContent>
          <mc:Choice Requires="wps">
            <w:drawing>
              <wp:anchor distT="0" distB="0" distL="114300" distR="114300" simplePos="0" relativeHeight="251697152" behindDoc="0" locked="0" layoutInCell="1" allowOverlap="1" wp14:anchorId="13E7A2A1" wp14:editId="3856C38B">
                <wp:simplePos x="0" y="0"/>
                <wp:positionH relativeFrom="column">
                  <wp:posOffset>-205740</wp:posOffset>
                </wp:positionH>
                <wp:positionV relativeFrom="paragraph">
                  <wp:posOffset>7620</wp:posOffset>
                </wp:positionV>
                <wp:extent cx="6858000" cy="563880"/>
                <wp:effectExtent l="0" t="0" r="0" b="0"/>
                <wp:wrapNone/>
                <wp:docPr id="9" name="TextBox 4"/>
                <wp:cNvGraphicFramePr/>
                <a:graphic xmlns:a="http://schemas.openxmlformats.org/drawingml/2006/main">
                  <a:graphicData uri="http://schemas.microsoft.com/office/word/2010/wordprocessingShape">
                    <wps:wsp>
                      <wps:cNvSpPr txBox="1"/>
                      <wps:spPr>
                        <a:xfrm>
                          <a:off x="0" y="0"/>
                          <a:ext cx="6858000" cy="563880"/>
                        </a:xfrm>
                        <a:prstGeom prst="rect">
                          <a:avLst/>
                        </a:prstGeom>
                        <a:noFill/>
                      </wps:spPr>
                      <wps:txbx>
                        <w:txbxContent>
                          <w:p w:rsidR="000216DA" w:rsidRPr="0064643D" w:rsidRDefault="000216DA" w:rsidP="00F52101">
                            <w:pPr>
                              <w:pStyle w:val="NormalWeb"/>
                              <w:spacing w:before="0" w:beforeAutospacing="0" w:after="0" w:afterAutospacing="0"/>
                              <w:rPr>
                                <w:sz w:val="20"/>
                              </w:rPr>
                            </w:pPr>
                            <m:oMathPara>
                              <m:oMathParaPr>
                                <m:jc m:val="centerGroup"/>
                              </m:oMathParaPr>
                              <m:oMath>
                                <m:r>
                                  <m:rPr>
                                    <m:sty m:val="bi"/>
                                  </m:rPr>
                                  <w:rPr>
                                    <w:rFonts w:ascii="Cambria Math" w:hAnsi="Cambria Math" w:cstheme="minorBidi"/>
                                    <w:color w:val="000000" w:themeColor="text1"/>
                                    <w:kern w:val="24"/>
                                    <w:sz w:val="20"/>
                                    <w:szCs w:val="28"/>
                                  </w:rPr>
                                  <m:t>PAI=</m:t>
                                </m:r>
                                <m:f>
                                  <m:fPr>
                                    <m:ctrlPr>
                                      <w:rPr>
                                        <w:rFonts w:ascii="Cambria Math" w:hAnsi="Cambria Math" w:cstheme="minorBidi"/>
                                        <w:b/>
                                        <w:bCs/>
                                        <w:i/>
                                        <w:iCs/>
                                        <w:color w:val="000000" w:themeColor="text1"/>
                                        <w:kern w:val="24"/>
                                        <w:sz w:val="20"/>
                                        <w:szCs w:val="28"/>
                                      </w:rPr>
                                    </m:ctrlPr>
                                  </m:fPr>
                                  <m:num>
                                    <m:r>
                                      <m:rPr>
                                        <m:sty m:val="bi"/>
                                      </m:rPr>
                                      <w:rPr>
                                        <w:rFonts w:ascii="Cambria Math" w:hAnsi="Cambria Math" w:cstheme="minorBidi"/>
                                        <w:color w:val="000000" w:themeColor="text1"/>
                                        <w:kern w:val="24"/>
                                        <w:sz w:val="20"/>
                                        <w:szCs w:val="28"/>
                                      </w:rPr>
                                      <m:t>SNAP Participants -Disaster SNAP </m:t>
                                    </m:r>
                                    <m:r>
                                      <m:rPr>
                                        <m:sty m:val="bi"/>
                                      </m:rPr>
                                      <w:rPr>
                                        <w:rFonts w:ascii="Cambria Math" w:hAnsi="Cambria Math" w:cstheme="minorBidi"/>
                                        <w:color w:val="000000" w:themeColor="text1"/>
                                        <w:kern w:val="24"/>
                                        <w:sz w:val="18"/>
                                        <w:szCs w:val="28"/>
                                      </w:rPr>
                                      <m:t>Program</m:t>
                                    </m:r>
                                    <m:r>
                                      <m:rPr>
                                        <m:sty m:val="bi"/>
                                      </m:rPr>
                                      <w:rPr>
                                        <w:rFonts w:ascii="Cambria Math" w:hAnsi="Cambria Math" w:cstheme="minorBidi"/>
                                        <w:color w:val="000000" w:themeColor="text1"/>
                                        <w:kern w:val="24"/>
                                        <w:sz w:val="20"/>
                                        <w:szCs w:val="28"/>
                                      </w:rPr>
                                      <m:t> Participants</m:t>
                                    </m:r>
                                  </m:num>
                                  <m:den>
                                    <m:r>
                                      <m:rPr>
                                        <m:sty m:val="bi"/>
                                      </m:rPr>
                                      <w:rPr>
                                        <w:rFonts w:ascii="Cambria Math" w:hAnsi="Cambria Math" w:cstheme="minorBidi"/>
                                        <w:color w:val="000000" w:themeColor="text1"/>
                                        <w:kern w:val="24"/>
                                        <w:sz w:val="20"/>
                                        <w:szCs w:val="28"/>
                                      </w:rPr>
                                      <m:t>Individuals with Income&lt;125% below FPL -FDPIR participants -SSI Recipients</m:t>
                                    </m:r>
                                  </m:den>
                                </m:f>
                              </m:oMath>
                            </m:oMathPara>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3E7A2A1" id="_x0000_t202" coordsize="21600,21600" o:spt="202" path="m,l,21600r21600,l21600,xe">
                <v:stroke joinstyle="miter"/>
                <v:path gradientshapeok="t" o:connecttype="rect"/>
              </v:shapetype>
              <v:shape id="TextBox 4" o:spid="_x0000_s1026" type="#_x0000_t202" style="position:absolute;margin-left:-16.2pt;margin-top:.6pt;width:540pt;height:4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" filled="f" stroked="f">
                <v:textbox>
                  <w:txbxContent>
                    <w:p w:rsidR="000216DA" w:rsidRPr="0064643D" w:rsidRDefault="000216DA" w:rsidP="00F52101">
                      <w:pPr>
                        <w:pStyle w:val="NormalWeb"/>
                        <w:spacing w:before="0" w:beforeAutospacing="0" w:after="0" w:afterAutospacing="0"/>
                        <w:rPr>
                          <w:sz w:val="20"/>
                        </w:rPr>
                      </w:pPr>
                      <m:oMathPara>
                        <m:oMathParaPr>
                          <m:jc m:val="centerGroup"/>
                        </m:oMathParaPr>
                        <m:oMath>
                          <m:r>
                            <m:rPr>
                              <m:sty m:val="bi"/>
                            </m:rPr>
                            <w:rPr>
                              <w:rFonts w:ascii="Cambria Math" w:hAnsi="Cambria Math" w:cstheme="minorBidi"/>
                              <w:color w:val="000000" w:themeColor="text1"/>
                              <w:kern w:val="24"/>
                              <w:sz w:val="20"/>
                              <w:szCs w:val="28"/>
                            </w:rPr>
                            <m:t>PAI=</m:t>
                          </m:r>
                          <m:f>
                            <m:fPr>
                              <m:ctrlPr>
                                <w:rPr>
                                  <w:rFonts w:ascii="Cambria Math" w:hAnsi="Cambria Math" w:cstheme="minorBidi"/>
                                  <w:b/>
                                  <w:bCs/>
                                  <w:i/>
                                  <w:iCs/>
                                  <w:color w:val="000000" w:themeColor="text1"/>
                                  <w:kern w:val="24"/>
                                  <w:sz w:val="20"/>
                                  <w:szCs w:val="28"/>
                                </w:rPr>
                              </m:ctrlPr>
                            </m:fPr>
                            <m:num>
                              <m:r>
                                <m:rPr>
                                  <m:sty m:val="bi"/>
                                </m:rPr>
                                <w:rPr>
                                  <w:rFonts w:ascii="Cambria Math" w:hAnsi="Cambria Math" w:cstheme="minorBidi"/>
                                  <w:color w:val="000000" w:themeColor="text1"/>
                                  <w:kern w:val="24"/>
                                  <w:sz w:val="20"/>
                                  <w:szCs w:val="28"/>
                                </w:rPr>
                                <m:t>SNAP Participants -Disaster SNAP </m:t>
                              </m:r>
                              <m:r>
                                <m:rPr>
                                  <m:sty m:val="bi"/>
                                </m:rPr>
                                <w:rPr>
                                  <w:rFonts w:ascii="Cambria Math" w:hAnsi="Cambria Math" w:cstheme="minorBidi"/>
                                  <w:color w:val="000000" w:themeColor="text1"/>
                                  <w:kern w:val="24"/>
                                  <w:sz w:val="18"/>
                                  <w:szCs w:val="28"/>
                                </w:rPr>
                                <m:t>Program</m:t>
                              </m:r>
                              <m:r>
                                <m:rPr>
                                  <m:sty m:val="bi"/>
                                </m:rPr>
                                <w:rPr>
                                  <w:rFonts w:ascii="Cambria Math" w:hAnsi="Cambria Math" w:cstheme="minorBidi"/>
                                  <w:color w:val="000000" w:themeColor="text1"/>
                                  <w:kern w:val="24"/>
                                  <w:sz w:val="20"/>
                                  <w:szCs w:val="28"/>
                                </w:rPr>
                                <m:t> Participants</m:t>
                              </m:r>
                            </m:num>
                            <m:den>
                              <m:r>
                                <m:rPr>
                                  <m:sty m:val="bi"/>
                                </m:rPr>
                                <w:rPr>
                                  <w:rFonts w:ascii="Cambria Math" w:hAnsi="Cambria Math" w:cstheme="minorBidi"/>
                                  <w:color w:val="000000" w:themeColor="text1"/>
                                  <w:kern w:val="24"/>
                                  <w:sz w:val="20"/>
                                  <w:szCs w:val="28"/>
                                </w:rPr>
                                <m:t>Individuals with Income&lt;125% below FPL -FDPIR participants -SSI Recipients</m:t>
                              </m:r>
                            </m:den>
                          </m:f>
                        </m:oMath>
                      </m:oMathPara>
                    </w:p>
                  </w:txbxContent>
                </v:textbox>
              </v:shape>
            </w:pict>
          </mc:Fallback>
        </mc:AlternateContent>
      </w:r>
    </w:p>
    <w:p w:rsidR="00CD1EBE" w:rsidRDefault="00CD1EBE" w:rsidP="00540857">
      <w:pPr>
        <w:spacing w:before="100" w:beforeAutospacing="1" w:after="100" w:afterAutospacing="1" w:line="240" w:lineRule="auto"/>
        <w:rPr>
          <w:rFonts w:ascii="Arial" w:hAnsi="Arial" w:cs="Arial"/>
          <w:color w:val="000000"/>
        </w:rPr>
      </w:pPr>
    </w:p>
    <w:p w:rsidR="00F52101" w:rsidRPr="00DC2CA8" w:rsidRDefault="00C02939" w:rsidP="00540857">
      <w:pPr>
        <w:spacing w:before="100" w:beforeAutospacing="1" w:after="100" w:afterAutospacing="1" w:line="240" w:lineRule="auto"/>
        <w:rPr>
          <w:rFonts w:ascii="Arial" w:eastAsiaTheme="minorEastAsia" w:hAnsi="Arial" w:cs="Arial"/>
          <w:color w:val="000000" w:themeColor="text1"/>
          <w:kern w:val="24"/>
        </w:rPr>
      </w:pPr>
      <w:r>
        <w:rPr>
          <w:rFonts w:ascii="Arial" w:hAnsi="Arial" w:cs="Arial"/>
        </w:rPr>
        <w:t xml:space="preserve">The FNS uses a </w:t>
      </w:r>
      <w:r w:rsidR="00D8087F">
        <w:rPr>
          <w:rFonts w:ascii="Arial" w:hAnsi="Arial" w:cs="Arial"/>
        </w:rPr>
        <w:t xml:space="preserve">threshold of 125 percent </w:t>
      </w:r>
      <w:r>
        <w:rPr>
          <w:rFonts w:ascii="Arial" w:hAnsi="Arial" w:cs="Arial"/>
        </w:rPr>
        <w:t xml:space="preserve">of FPL because </w:t>
      </w:r>
      <w:r w:rsidR="00DC2CA8">
        <w:rPr>
          <w:rFonts w:ascii="Arial" w:hAnsi="Arial" w:cs="Arial"/>
        </w:rPr>
        <w:t xml:space="preserve">that </w:t>
      </w:r>
      <w:r w:rsidR="003F53BE">
        <w:rPr>
          <w:rFonts w:ascii="Arial" w:hAnsi="Arial" w:cs="Arial"/>
        </w:rPr>
        <w:t xml:space="preserve">published </w:t>
      </w:r>
      <w:r>
        <w:rPr>
          <w:rFonts w:ascii="Arial" w:eastAsiaTheme="minorEastAsia" w:hAnsi="Arial" w:cs="Arial"/>
          <w:color w:val="000000" w:themeColor="text1"/>
          <w:kern w:val="24"/>
        </w:rPr>
        <w:t>state</w:t>
      </w:r>
      <w:r>
        <w:rPr>
          <w:rFonts w:ascii="Arial" w:eastAsiaTheme="minorEastAsia" w:hAnsi="Arial" w:cs="Arial"/>
          <w:color w:val="000000" w:themeColor="text1"/>
          <w:kern w:val="24"/>
        </w:rPr>
        <w:noBreakHyphen/>
        <w:t xml:space="preserve">level </w:t>
      </w:r>
      <w:r w:rsidR="003F53BE">
        <w:rPr>
          <w:rFonts w:ascii="Arial" w:eastAsiaTheme="minorEastAsia" w:hAnsi="Arial" w:cs="Arial"/>
          <w:color w:val="000000" w:themeColor="text1"/>
          <w:kern w:val="24"/>
        </w:rPr>
        <w:t>income</w:t>
      </w:r>
      <w:r w:rsidR="003F53BE">
        <w:rPr>
          <w:rFonts w:ascii="Arial" w:eastAsiaTheme="minorEastAsia" w:hAnsi="Arial" w:cs="Arial"/>
          <w:color w:val="000000" w:themeColor="text1"/>
          <w:kern w:val="24"/>
        </w:rPr>
        <w:noBreakHyphen/>
        <w:t>to</w:t>
      </w:r>
      <w:r w:rsidR="003F53BE">
        <w:rPr>
          <w:rFonts w:ascii="Arial" w:eastAsiaTheme="minorEastAsia" w:hAnsi="Arial" w:cs="Arial"/>
          <w:color w:val="000000" w:themeColor="text1"/>
          <w:kern w:val="24"/>
        </w:rPr>
        <w:noBreakHyphen/>
      </w:r>
      <w:r w:rsidRPr="00A05E9D">
        <w:rPr>
          <w:rFonts w:ascii="Arial" w:eastAsiaTheme="minorEastAsia" w:hAnsi="Arial" w:cs="Arial"/>
          <w:color w:val="000000" w:themeColor="text1"/>
          <w:kern w:val="24"/>
        </w:rPr>
        <w:t xml:space="preserve">poverty </w:t>
      </w:r>
      <w:r>
        <w:rPr>
          <w:rFonts w:ascii="Arial" w:eastAsiaTheme="minorEastAsia" w:hAnsi="Arial" w:cs="Arial"/>
          <w:color w:val="000000" w:themeColor="text1"/>
          <w:kern w:val="24"/>
        </w:rPr>
        <w:t xml:space="preserve">tabulation </w:t>
      </w:r>
      <w:r w:rsidR="003F53BE">
        <w:rPr>
          <w:rFonts w:ascii="Arial" w:eastAsiaTheme="minorEastAsia" w:hAnsi="Arial" w:cs="Arial"/>
          <w:color w:val="000000" w:themeColor="text1"/>
          <w:kern w:val="24"/>
        </w:rPr>
        <w:t>from</w:t>
      </w:r>
      <w:r>
        <w:rPr>
          <w:rFonts w:ascii="Arial" w:eastAsiaTheme="minorEastAsia" w:hAnsi="Arial" w:cs="Arial"/>
          <w:color w:val="000000" w:themeColor="text1"/>
          <w:kern w:val="24"/>
        </w:rPr>
        <w:t xml:space="preserve"> the American Community Survey </w:t>
      </w:r>
      <w:r w:rsidR="00D8087F">
        <w:rPr>
          <w:rFonts w:ascii="Arial" w:eastAsiaTheme="minorEastAsia" w:hAnsi="Arial" w:cs="Arial"/>
          <w:color w:val="000000" w:themeColor="text1"/>
          <w:kern w:val="24"/>
        </w:rPr>
        <w:t>(ACS)</w:t>
      </w:r>
      <w:r w:rsidR="00F12909">
        <w:rPr>
          <w:rFonts w:ascii="Arial" w:eastAsiaTheme="minorEastAsia" w:hAnsi="Arial" w:cs="Arial"/>
          <w:color w:val="000000" w:themeColor="text1"/>
          <w:kern w:val="24"/>
        </w:rPr>
        <w:t xml:space="preserve"> is the closest</w:t>
      </w:r>
      <w:r w:rsidR="00D8087F">
        <w:rPr>
          <w:rFonts w:ascii="Arial" w:eastAsiaTheme="minorEastAsia" w:hAnsi="Arial" w:cs="Arial"/>
          <w:color w:val="000000" w:themeColor="text1"/>
          <w:kern w:val="24"/>
        </w:rPr>
        <w:t xml:space="preserve"> </w:t>
      </w:r>
      <w:r w:rsidR="00DC7E65">
        <w:rPr>
          <w:rFonts w:ascii="Arial" w:eastAsiaTheme="minorEastAsia" w:hAnsi="Arial" w:cs="Arial"/>
          <w:color w:val="000000" w:themeColor="text1"/>
          <w:kern w:val="24"/>
        </w:rPr>
        <w:t xml:space="preserve">to </w:t>
      </w:r>
      <w:r w:rsidR="00DC2CA8">
        <w:rPr>
          <w:rFonts w:ascii="Arial" w:eastAsiaTheme="minorEastAsia" w:hAnsi="Arial" w:cs="Arial"/>
          <w:color w:val="000000" w:themeColor="text1"/>
          <w:kern w:val="24"/>
        </w:rPr>
        <w:t>the actual SNAP gross income limit of 130</w:t>
      </w:r>
      <w:r w:rsidR="003F53BE">
        <w:rPr>
          <w:rFonts w:ascii="Arial" w:eastAsiaTheme="minorEastAsia" w:hAnsi="Arial" w:cs="Arial"/>
          <w:color w:val="000000" w:themeColor="text1"/>
          <w:kern w:val="24"/>
        </w:rPr>
        <w:t xml:space="preserve"> percent</w:t>
      </w:r>
      <w:r>
        <w:rPr>
          <w:rFonts w:ascii="Arial" w:eastAsiaTheme="minorEastAsia" w:hAnsi="Arial" w:cs="Arial"/>
          <w:color w:val="000000" w:themeColor="text1"/>
          <w:kern w:val="24"/>
        </w:rPr>
        <w:t xml:space="preserve"> </w:t>
      </w:r>
      <w:r w:rsidRPr="00A05E9D">
        <w:rPr>
          <w:rFonts w:ascii="Arial" w:eastAsiaTheme="minorEastAsia" w:hAnsi="Arial" w:cs="Arial"/>
          <w:color w:val="000000" w:themeColor="text1"/>
          <w:kern w:val="24"/>
        </w:rPr>
        <w:t xml:space="preserve">of FPL. </w:t>
      </w:r>
      <w:r>
        <w:rPr>
          <w:rFonts w:ascii="Arial" w:eastAsiaTheme="minorEastAsia" w:hAnsi="Arial" w:cs="Arial"/>
          <w:color w:val="000000" w:themeColor="text1"/>
          <w:kern w:val="24"/>
        </w:rPr>
        <w:t xml:space="preserve"> </w:t>
      </w:r>
      <w:r w:rsidR="00260F06">
        <w:rPr>
          <w:rFonts w:ascii="Arial" w:eastAsiaTheme="minorEastAsia" w:hAnsi="Arial" w:cs="Arial"/>
          <w:color w:val="000000" w:themeColor="text1"/>
          <w:kern w:val="24"/>
        </w:rPr>
        <w:t xml:space="preserve">Since only three CalFresh eligibility criteria are used in the PAI, it is not a true measure of participation.  </w:t>
      </w:r>
      <w:r w:rsidR="00F52101" w:rsidRPr="00A05E9D">
        <w:rPr>
          <w:rFonts w:ascii="Arial" w:hAnsi="Arial" w:cs="Arial"/>
        </w:rPr>
        <w:t>Mathematica</w:t>
      </w:r>
      <w:r w:rsidR="00F52101">
        <w:rPr>
          <w:rFonts w:ascii="Arial" w:hAnsi="Arial" w:cs="Arial"/>
        </w:rPr>
        <w:t xml:space="preserve"> Policy Research calculates SNAP participation rates by state </w:t>
      </w:r>
      <w:r w:rsidR="004106A1">
        <w:rPr>
          <w:rFonts w:ascii="Arial" w:hAnsi="Arial" w:cs="Arial"/>
        </w:rPr>
        <w:t xml:space="preserve">for FNS </w:t>
      </w:r>
      <w:r w:rsidR="00F52101">
        <w:rPr>
          <w:rFonts w:ascii="Arial" w:hAnsi="Arial" w:cs="Arial"/>
        </w:rPr>
        <w:t xml:space="preserve">by applying SNAP </w:t>
      </w:r>
      <w:r w:rsidR="00F36D61">
        <w:rPr>
          <w:rFonts w:ascii="Arial" w:hAnsi="Arial" w:cs="Arial"/>
        </w:rPr>
        <w:t xml:space="preserve">income and asset </w:t>
      </w:r>
      <w:r w:rsidR="00F52101">
        <w:rPr>
          <w:rFonts w:ascii="Arial" w:hAnsi="Arial" w:cs="Arial"/>
        </w:rPr>
        <w:t>eligibility rules to</w:t>
      </w:r>
      <w:r w:rsidR="00C72369">
        <w:rPr>
          <w:rFonts w:ascii="Arial" w:hAnsi="Arial" w:cs="Arial"/>
        </w:rPr>
        <w:t xml:space="preserve"> individual</w:t>
      </w:r>
      <w:r w:rsidR="00C72369">
        <w:rPr>
          <w:rFonts w:ascii="Arial" w:hAnsi="Arial" w:cs="Arial"/>
        </w:rPr>
        <w:noBreakHyphen/>
        <w:t>level sample data and administrative records</w:t>
      </w:r>
      <w:r w:rsidR="00F52101">
        <w:rPr>
          <w:rFonts w:ascii="Arial" w:hAnsi="Arial" w:cs="Arial"/>
        </w:rPr>
        <w:t>.</w:t>
      </w:r>
      <w:r w:rsidR="00F52101" w:rsidRPr="00A05E9D">
        <w:rPr>
          <w:rStyle w:val="FootnoteReference"/>
          <w:rFonts w:ascii="Arial" w:hAnsi="Arial" w:cs="Arial"/>
        </w:rPr>
        <w:footnoteReference w:id="7"/>
      </w:r>
      <w:r w:rsidR="00F52101" w:rsidRPr="00A05E9D">
        <w:rPr>
          <w:rFonts w:ascii="Arial" w:hAnsi="Arial" w:cs="Arial"/>
        </w:rPr>
        <w:t xml:space="preserve"> </w:t>
      </w:r>
      <w:r w:rsidR="00F52101">
        <w:rPr>
          <w:rFonts w:ascii="Arial" w:hAnsi="Arial" w:cs="Arial"/>
        </w:rPr>
        <w:t xml:space="preserve"> </w:t>
      </w:r>
      <w:r w:rsidR="000216DA">
        <w:rPr>
          <w:rFonts w:ascii="Arial" w:hAnsi="Arial" w:cs="Arial"/>
        </w:rPr>
        <w:t>The California Food Policy Advocates models its calculation of county</w:t>
      </w:r>
      <w:r w:rsidR="000216DA">
        <w:rPr>
          <w:rFonts w:ascii="Arial" w:hAnsi="Arial" w:cs="Arial"/>
        </w:rPr>
        <w:noBreakHyphen/>
        <w:t>level PAI on FNS’ model.  None of these</w:t>
      </w:r>
      <w:r w:rsidR="00F52101">
        <w:rPr>
          <w:rFonts w:ascii="Arial" w:hAnsi="Arial" w:cs="Arial"/>
        </w:rPr>
        <w:t xml:space="preserve"> measure</w:t>
      </w:r>
      <w:r w:rsidR="000216DA">
        <w:rPr>
          <w:rFonts w:ascii="Arial" w:hAnsi="Arial" w:cs="Arial"/>
        </w:rPr>
        <w:t>s</w:t>
      </w:r>
      <w:r w:rsidR="00F52101" w:rsidRPr="00A05E9D">
        <w:rPr>
          <w:rFonts w:ascii="Arial" w:hAnsi="Arial" w:cs="Arial"/>
        </w:rPr>
        <w:t xml:space="preserve"> reflect</w:t>
      </w:r>
      <w:r w:rsidR="00F52101">
        <w:rPr>
          <w:rFonts w:ascii="Arial" w:hAnsi="Arial" w:cs="Arial"/>
        </w:rPr>
        <w:t>s</w:t>
      </w:r>
      <w:r w:rsidR="00F52101" w:rsidRPr="00A05E9D">
        <w:rPr>
          <w:rFonts w:ascii="Arial" w:hAnsi="Arial" w:cs="Arial"/>
        </w:rPr>
        <w:t xml:space="preserve"> the true participation rate in California as the denominator</w:t>
      </w:r>
      <w:r w:rsidR="00F52101">
        <w:rPr>
          <w:rFonts w:ascii="Arial" w:hAnsi="Arial" w:cs="Arial"/>
        </w:rPr>
        <w:t>s include</w:t>
      </w:r>
      <w:r w:rsidR="005973F6">
        <w:rPr>
          <w:rFonts w:ascii="Arial" w:hAnsi="Arial" w:cs="Arial"/>
        </w:rPr>
        <w:t xml:space="preserve"> a portion of the</w:t>
      </w:r>
      <w:r w:rsidR="00F36D61">
        <w:rPr>
          <w:rFonts w:ascii="Arial" w:hAnsi="Arial" w:cs="Arial"/>
        </w:rPr>
        <w:t xml:space="preserve"> estimated 2.83</w:t>
      </w:r>
      <w:r w:rsidR="00F52101" w:rsidRPr="00A05E9D">
        <w:rPr>
          <w:rFonts w:ascii="Arial" w:hAnsi="Arial" w:cs="Arial"/>
        </w:rPr>
        <w:t xml:space="preserve"> million undocumented </w:t>
      </w:r>
      <w:r w:rsidR="005973F6">
        <w:rPr>
          <w:rFonts w:ascii="Arial" w:hAnsi="Arial" w:cs="Arial"/>
        </w:rPr>
        <w:t>Californians</w:t>
      </w:r>
      <w:r w:rsidR="00F52101">
        <w:rPr>
          <w:rFonts w:ascii="Arial" w:hAnsi="Arial" w:cs="Arial"/>
        </w:rPr>
        <w:t xml:space="preserve"> who are not eligible for SNAP due to their immigration status.</w:t>
      </w:r>
      <w:r w:rsidR="00F52101" w:rsidRPr="00A05E9D">
        <w:rPr>
          <w:rFonts w:ascii="Arial" w:hAnsi="Arial" w:cs="Arial"/>
          <w:vertAlign w:val="superscript"/>
        </w:rPr>
        <w:footnoteReference w:id="8"/>
      </w:r>
      <w:r w:rsidR="00F52101" w:rsidRPr="00A05E9D">
        <w:rPr>
          <w:rFonts w:ascii="Arial" w:hAnsi="Arial" w:cs="Arial"/>
        </w:rPr>
        <w:t xml:space="preserve"> </w:t>
      </w:r>
    </w:p>
    <w:p w:rsidR="0048273C" w:rsidRDefault="0048273C" w:rsidP="001636FD">
      <w:pPr>
        <w:autoSpaceDE w:val="0"/>
        <w:autoSpaceDN w:val="0"/>
        <w:adjustRightInd w:val="0"/>
        <w:contextualSpacing/>
        <w:rPr>
          <w:rFonts w:ascii="Arial" w:hAnsi="Arial" w:cs="Arial"/>
          <w:b/>
        </w:rPr>
      </w:pPr>
    </w:p>
    <w:p w:rsidR="001636FD" w:rsidRPr="00A05E9D" w:rsidRDefault="00F36D61" w:rsidP="001636FD">
      <w:pPr>
        <w:autoSpaceDE w:val="0"/>
        <w:autoSpaceDN w:val="0"/>
        <w:adjustRightInd w:val="0"/>
        <w:contextualSpacing/>
        <w:rPr>
          <w:rFonts w:ascii="Arial" w:hAnsi="Arial" w:cs="Arial"/>
          <w:b/>
        </w:rPr>
      </w:pPr>
      <w:r>
        <w:rPr>
          <w:rFonts w:ascii="Arial" w:hAnsi="Arial" w:cs="Arial"/>
          <w:b/>
        </w:rPr>
        <w:t xml:space="preserve">The CDSS </w:t>
      </w:r>
      <w:r w:rsidR="001636FD" w:rsidRPr="00A05E9D">
        <w:rPr>
          <w:rFonts w:ascii="Arial" w:hAnsi="Arial" w:cs="Arial"/>
          <w:b/>
        </w:rPr>
        <w:t>Program Reach Index</w:t>
      </w:r>
      <w:r w:rsidR="0079023B">
        <w:rPr>
          <w:rFonts w:ascii="Arial" w:hAnsi="Arial" w:cs="Arial"/>
          <w:b/>
        </w:rPr>
        <w:t xml:space="preserve"> (PRI</w:t>
      </w:r>
      <w:r w:rsidR="00705282" w:rsidRPr="00A05E9D">
        <w:rPr>
          <w:rFonts w:ascii="Arial" w:hAnsi="Arial" w:cs="Arial"/>
          <w:b/>
        </w:rPr>
        <w:t>)</w:t>
      </w:r>
    </w:p>
    <w:p w:rsidR="001636FD" w:rsidRDefault="001636FD" w:rsidP="001636FD">
      <w:pPr>
        <w:spacing w:after="0" w:line="240" w:lineRule="auto"/>
        <w:rPr>
          <w:rFonts w:ascii="Arial" w:eastAsiaTheme="minorEastAsia" w:hAnsi="Arial" w:cs="Arial"/>
          <w:b/>
          <w:bCs/>
          <w:color w:val="0070C0"/>
          <w:kern w:val="24"/>
        </w:rPr>
      </w:pPr>
    </w:p>
    <w:p w:rsidR="008265FC" w:rsidRPr="008265FC" w:rsidRDefault="008265FC" w:rsidP="001636FD">
      <w:pPr>
        <w:spacing w:after="0" w:line="240" w:lineRule="auto"/>
        <w:rPr>
          <w:rFonts w:ascii="Arial" w:eastAsiaTheme="minorEastAsia" w:hAnsi="Arial" w:cs="Arial"/>
          <w:bCs/>
          <w:kern w:val="24"/>
        </w:rPr>
      </w:pPr>
      <w:r>
        <w:rPr>
          <w:rFonts w:ascii="Arial" w:eastAsiaTheme="minorEastAsia" w:hAnsi="Arial" w:cs="Arial"/>
          <w:bCs/>
          <w:kern w:val="24"/>
        </w:rPr>
        <w:t>The CDSS</w:t>
      </w:r>
      <w:r w:rsidR="00871820">
        <w:rPr>
          <w:rFonts w:ascii="Arial" w:eastAsiaTheme="minorEastAsia" w:hAnsi="Arial" w:cs="Arial"/>
          <w:bCs/>
          <w:kern w:val="24"/>
        </w:rPr>
        <w:t>’</w:t>
      </w:r>
      <w:r>
        <w:rPr>
          <w:rFonts w:ascii="Arial" w:eastAsiaTheme="minorEastAsia" w:hAnsi="Arial" w:cs="Arial"/>
          <w:bCs/>
          <w:kern w:val="24"/>
        </w:rPr>
        <w:t xml:space="preserve"> first </w:t>
      </w:r>
      <w:r w:rsidR="00871820">
        <w:rPr>
          <w:rFonts w:ascii="Arial" w:eastAsiaTheme="minorEastAsia" w:hAnsi="Arial" w:cs="Arial"/>
          <w:bCs/>
          <w:kern w:val="24"/>
        </w:rPr>
        <w:t xml:space="preserve">step in developing a more precise measure of CalFresh participation involved </w:t>
      </w:r>
      <w:r>
        <w:rPr>
          <w:rFonts w:ascii="Arial" w:eastAsiaTheme="minorEastAsia" w:hAnsi="Arial" w:cs="Arial"/>
          <w:bCs/>
          <w:kern w:val="24"/>
        </w:rPr>
        <w:t>adjust</w:t>
      </w:r>
      <w:r w:rsidR="00871820">
        <w:rPr>
          <w:rFonts w:ascii="Arial" w:eastAsiaTheme="minorEastAsia" w:hAnsi="Arial" w:cs="Arial"/>
          <w:bCs/>
          <w:kern w:val="24"/>
        </w:rPr>
        <w:t>ing</w:t>
      </w:r>
      <w:r>
        <w:rPr>
          <w:rFonts w:ascii="Arial" w:eastAsiaTheme="minorEastAsia" w:hAnsi="Arial" w:cs="Arial"/>
          <w:bCs/>
          <w:kern w:val="24"/>
        </w:rPr>
        <w:t xml:space="preserve"> the</w:t>
      </w:r>
      <w:r w:rsidR="00871820">
        <w:rPr>
          <w:rFonts w:ascii="Arial" w:eastAsiaTheme="minorEastAsia" w:hAnsi="Arial" w:cs="Arial"/>
          <w:bCs/>
          <w:kern w:val="24"/>
        </w:rPr>
        <w:t xml:space="preserve"> PAI denominato</w:t>
      </w:r>
      <w:r>
        <w:rPr>
          <w:rFonts w:ascii="Arial" w:eastAsiaTheme="minorEastAsia" w:hAnsi="Arial" w:cs="Arial"/>
          <w:bCs/>
          <w:kern w:val="24"/>
        </w:rPr>
        <w:t>r</w:t>
      </w:r>
      <w:r w:rsidR="00871820">
        <w:rPr>
          <w:rFonts w:ascii="Arial" w:eastAsiaTheme="minorEastAsia" w:hAnsi="Arial" w:cs="Arial"/>
          <w:bCs/>
          <w:kern w:val="24"/>
        </w:rPr>
        <w:t>’s</w:t>
      </w:r>
      <w:r>
        <w:rPr>
          <w:rFonts w:ascii="Arial" w:eastAsiaTheme="minorEastAsia" w:hAnsi="Arial" w:cs="Arial"/>
          <w:bCs/>
          <w:kern w:val="24"/>
        </w:rPr>
        <w:t xml:space="preserve"> poverty thre</w:t>
      </w:r>
      <w:r w:rsidR="00871820">
        <w:rPr>
          <w:rFonts w:ascii="Arial" w:eastAsiaTheme="minorEastAsia" w:hAnsi="Arial" w:cs="Arial"/>
          <w:bCs/>
          <w:kern w:val="24"/>
        </w:rPr>
        <w:t>shold from 125 percent of FPL to 130 percent</w:t>
      </w:r>
      <w:r>
        <w:rPr>
          <w:rFonts w:ascii="Arial" w:eastAsiaTheme="minorEastAsia" w:hAnsi="Arial" w:cs="Arial"/>
          <w:bCs/>
          <w:kern w:val="24"/>
        </w:rPr>
        <w:t xml:space="preserve"> of FPL using a straight</w:t>
      </w:r>
      <w:r>
        <w:rPr>
          <w:rFonts w:ascii="Arial" w:eastAsiaTheme="minorEastAsia" w:hAnsi="Arial" w:cs="Arial"/>
          <w:bCs/>
          <w:kern w:val="24"/>
        </w:rPr>
        <w:noBreakHyphen/>
        <w:t xml:space="preserve">line extrapolation of </w:t>
      </w:r>
      <w:r w:rsidR="00B05429" w:rsidRPr="00A05E9D">
        <w:rPr>
          <w:rFonts w:ascii="Arial" w:hAnsi="Arial" w:cs="Arial"/>
        </w:rPr>
        <w:t>American Community Survey (</w:t>
      </w:r>
      <w:r w:rsidR="00B05429">
        <w:rPr>
          <w:rFonts w:ascii="Arial" w:hAnsi="Arial" w:cs="Arial"/>
        </w:rPr>
        <w:t>ACS)</w:t>
      </w:r>
      <w:r w:rsidR="00B05429">
        <w:rPr>
          <w:rFonts w:ascii="Arial" w:eastAsiaTheme="minorEastAsia" w:hAnsi="Arial" w:cs="Arial"/>
          <w:bCs/>
          <w:kern w:val="24"/>
        </w:rPr>
        <w:t xml:space="preserve"> </w:t>
      </w:r>
      <w:r>
        <w:rPr>
          <w:rFonts w:ascii="Arial" w:eastAsiaTheme="minorEastAsia" w:hAnsi="Arial" w:cs="Arial"/>
          <w:bCs/>
          <w:kern w:val="24"/>
        </w:rPr>
        <w:t xml:space="preserve">data. </w:t>
      </w:r>
      <w:r w:rsidR="00871820">
        <w:rPr>
          <w:rFonts w:ascii="Arial" w:eastAsiaTheme="minorEastAsia" w:hAnsi="Arial" w:cs="Arial"/>
          <w:bCs/>
          <w:kern w:val="24"/>
        </w:rPr>
        <w:t xml:space="preserve"> In addition, unlike the PAI (but like</w:t>
      </w:r>
      <w:r>
        <w:rPr>
          <w:rFonts w:ascii="Arial" w:eastAsiaTheme="minorEastAsia" w:hAnsi="Arial" w:cs="Arial"/>
          <w:bCs/>
          <w:kern w:val="24"/>
        </w:rPr>
        <w:t xml:space="preserve"> Mathematica’s participation rate</w:t>
      </w:r>
      <w:r w:rsidR="00871820">
        <w:rPr>
          <w:rFonts w:ascii="Arial" w:eastAsiaTheme="minorEastAsia" w:hAnsi="Arial" w:cs="Arial"/>
          <w:bCs/>
          <w:kern w:val="24"/>
        </w:rPr>
        <w:t>)</w:t>
      </w:r>
      <w:r>
        <w:rPr>
          <w:rFonts w:ascii="Arial" w:eastAsiaTheme="minorEastAsia" w:hAnsi="Arial" w:cs="Arial"/>
          <w:bCs/>
          <w:kern w:val="24"/>
        </w:rPr>
        <w:t>, the PRI assumes that only half of California’s SSI/SSP recipients are ineligible for CalFresh due to cash</w:t>
      </w:r>
      <w:r>
        <w:rPr>
          <w:rFonts w:ascii="Arial" w:eastAsiaTheme="minorEastAsia" w:hAnsi="Arial" w:cs="Arial"/>
          <w:bCs/>
          <w:kern w:val="24"/>
        </w:rPr>
        <w:noBreakHyphen/>
        <w:t>out; the other half are ineligible because their income exceeds the SSI/SSP limit.</w:t>
      </w:r>
    </w:p>
    <w:p w:rsidR="001636FD" w:rsidRPr="00A05E9D" w:rsidRDefault="001636FD" w:rsidP="001636FD">
      <w:pPr>
        <w:spacing w:after="0" w:line="240" w:lineRule="auto"/>
        <w:rPr>
          <w:rFonts w:ascii="Arial" w:eastAsiaTheme="minorEastAsia" w:hAnsi="Arial" w:cs="Arial"/>
          <w:bCs/>
          <w:kern w:val="24"/>
        </w:rPr>
      </w:pPr>
    </w:p>
    <w:p w:rsidR="005C05B6" w:rsidRDefault="005C05B6" w:rsidP="005E6CF7">
      <w:pPr>
        <w:autoSpaceDE w:val="0"/>
        <w:autoSpaceDN w:val="0"/>
        <w:adjustRightInd w:val="0"/>
        <w:spacing w:line="240" w:lineRule="auto"/>
        <w:contextualSpacing/>
        <w:rPr>
          <w:rFonts w:ascii="Arial" w:hAnsi="Arial" w:cs="Arial"/>
        </w:rPr>
      </w:pPr>
    </w:p>
    <w:p w:rsidR="00706D7E" w:rsidRPr="005E6CF7" w:rsidRDefault="00706D7E" w:rsidP="005E6CF7">
      <w:pPr>
        <w:autoSpaceDE w:val="0"/>
        <w:autoSpaceDN w:val="0"/>
        <w:adjustRightInd w:val="0"/>
        <w:spacing w:line="240" w:lineRule="auto"/>
        <w:contextualSpacing/>
        <w:rPr>
          <w:rFonts w:ascii="Arial" w:hAnsi="Arial" w:cs="Arial"/>
          <w:b/>
        </w:rPr>
      </w:pPr>
      <w:r w:rsidRPr="00A05E9D">
        <w:rPr>
          <w:rFonts w:ascii="Arial" w:hAnsi="Arial" w:cs="Arial"/>
        </w:rPr>
        <w:t>Geocodable data</w:t>
      </w:r>
      <w:r w:rsidRPr="00A05E9D">
        <w:rPr>
          <w:rFonts w:ascii="Arial" w:hAnsi="Arial" w:cs="Arial"/>
          <w:b/>
        </w:rPr>
        <w:t xml:space="preserve"> </w:t>
      </w:r>
      <w:r w:rsidR="00B22C77" w:rsidRPr="00B22C77">
        <w:rPr>
          <w:rFonts w:ascii="Arial" w:hAnsi="Arial" w:cs="Arial"/>
        </w:rPr>
        <w:t xml:space="preserve">on the number of CalFresh </w:t>
      </w:r>
      <w:r w:rsidR="00316314">
        <w:rPr>
          <w:rFonts w:ascii="Arial" w:hAnsi="Arial" w:cs="Arial"/>
        </w:rPr>
        <w:t xml:space="preserve">and SSI </w:t>
      </w:r>
      <w:r w:rsidR="00B22C77" w:rsidRPr="00B22C77">
        <w:rPr>
          <w:rFonts w:ascii="Arial" w:hAnsi="Arial" w:cs="Arial"/>
        </w:rPr>
        <w:t>recipients</w:t>
      </w:r>
      <w:r w:rsidR="00B22C77">
        <w:rPr>
          <w:rFonts w:ascii="Arial" w:hAnsi="Arial" w:cs="Arial"/>
          <w:b/>
        </w:rPr>
        <w:t xml:space="preserve"> </w:t>
      </w:r>
      <w:r w:rsidRPr="00A05E9D">
        <w:rPr>
          <w:rFonts w:ascii="Arial" w:hAnsi="Arial" w:cs="Arial"/>
        </w:rPr>
        <w:t>are from the Me</w:t>
      </w:r>
      <w:r>
        <w:rPr>
          <w:rFonts w:ascii="Arial" w:hAnsi="Arial" w:cs="Arial"/>
        </w:rPr>
        <w:t>di-Cal</w:t>
      </w:r>
      <w:r w:rsidR="00E3675C">
        <w:rPr>
          <w:rFonts w:ascii="Arial" w:hAnsi="Arial" w:cs="Arial"/>
        </w:rPr>
        <w:t xml:space="preserve"> Eligibility Data System (MEDS</w:t>
      </w:r>
      <w:r w:rsidRPr="00A05E9D">
        <w:rPr>
          <w:rFonts w:ascii="Arial" w:hAnsi="Arial" w:cs="Arial"/>
        </w:rPr>
        <w:t>)</w:t>
      </w:r>
      <w:r>
        <w:rPr>
          <w:rFonts w:ascii="Arial" w:hAnsi="Arial" w:cs="Arial"/>
        </w:rPr>
        <w:t xml:space="preserve">.  </w:t>
      </w:r>
      <w:r w:rsidR="00DC5D4C">
        <w:rPr>
          <w:rFonts w:ascii="Arial" w:hAnsi="Arial" w:cs="Arial"/>
        </w:rPr>
        <w:t>Poverty data from t</w:t>
      </w:r>
      <w:r>
        <w:rPr>
          <w:rFonts w:ascii="Arial" w:hAnsi="Arial" w:cs="Arial"/>
        </w:rPr>
        <w:t xml:space="preserve">he </w:t>
      </w:r>
      <w:r w:rsidR="002A25AD">
        <w:rPr>
          <w:rFonts w:ascii="Arial" w:hAnsi="Arial" w:cs="Arial"/>
        </w:rPr>
        <w:t>ACS five</w:t>
      </w:r>
      <w:r w:rsidR="002A25AD">
        <w:rPr>
          <w:rFonts w:ascii="Arial" w:hAnsi="Arial" w:cs="Arial"/>
        </w:rPr>
        <w:noBreakHyphen/>
      </w:r>
      <w:r w:rsidR="00DC5D4C">
        <w:rPr>
          <w:rFonts w:ascii="Arial" w:hAnsi="Arial" w:cs="Arial"/>
        </w:rPr>
        <w:t xml:space="preserve">year summary file for 2008-2012 is </w:t>
      </w:r>
      <w:r w:rsidRPr="00A05E9D">
        <w:rPr>
          <w:rFonts w:ascii="Arial" w:hAnsi="Arial" w:cs="Arial"/>
        </w:rPr>
        <w:t xml:space="preserve">extracted at </w:t>
      </w:r>
      <w:r w:rsidR="00316314">
        <w:rPr>
          <w:rFonts w:ascii="Arial" w:hAnsi="Arial" w:cs="Arial"/>
        </w:rPr>
        <w:t xml:space="preserve">one of </w:t>
      </w:r>
      <w:r w:rsidRPr="00A05E9D">
        <w:rPr>
          <w:rFonts w:ascii="Arial" w:hAnsi="Arial" w:cs="Arial"/>
        </w:rPr>
        <w:t>four geographic scales</w:t>
      </w:r>
      <w:r w:rsidR="005E6CF7">
        <w:rPr>
          <w:rFonts w:ascii="Arial" w:hAnsi="Arial" w:cs="Arial"/>
        </w:rPr>
        <w:t xml:space="preserve"> depending</w:t>
      </w:r>
      <w:r w:rsidR="00316314">
        <w:rPr>
          <w:rFonts w:ascii="Arial" w:hAnsi="Arial" w:cs="Arial"/>
        </w:rPr>
        <w:t xml:space="preserve"> on specific analyses</w:t>
      </w:r>
      <w:r w:rsidR="002A25AD">
        <w:rPr>
          <w:rFonts w:ascii="Arial" w:hAnsi="Arial" w:cs="Arial"/>
        </w:rPr>
        <w:t>:  census tract, Zip code, place and c</w:t>
      </w:r>
      <w:r w:rsidR="00E3675C">
        <w:rPr>
          <w:rFonts w:ascii="Arial" w:hAnsi="Arial" w:cs="Arial"/>
        </w:rPr>
        <w:t>ounty</w:t>
      </w:r>
      <w:r w:rsidRPr="00A05E9D">
        <w:rPr>
          <w:rFonts w:ascii="Arial" w:hAnsi="Arial" w:cs="Arial"/>
        </w:rPr>
        <w:t>.</w:t>
      </w:r>
      <w:r w:rsidR="00316314">
        <w:rPr>
          <w:rFonts w:ascii="Arial" w:hAnsi="Arial" w:cs="Arial"/>
        </w:rPr>
        <w:t xml:space="preserve"> </w:t>
      </w:r>
      <w:r w:rsidRPr="00A05E9D">
        <w:rPr>
          <w:rFonts w:ascii="Arial" w:hAnsi="Arial" w:cs="Arial"/>
        </w:rPr>
        <w:t xml:space="preserve"> </w:t>
      </w:r>
    </w:p>
    <w:p w:rsidR="00E24076" w:rsidRDefault="00E24076" w:rsidP="00DC5D4C">
      <w:pPr>
        <w:autoSpaceDE w:val="0"/>
        <w:autoSpaceDN w:val="0"/>
        <w:adjustRightInd w:val="0"/>
        <w:spacing w:line="240" w:lineRule="auto"/>
        <w:ind w:left="720"/>
        <w:contextualSpacing/>
        <w:rPr>
          <w:rFonts w:ascii="Arial" w:hAnsi="Arial" w:cs="Arial"/>
        </w:rPr>
      </w:pPr>
    </w:p>
    <w:p w:rsidR="0048273C" w:rsidRDefault="0048273C" w:rsidP="00DC5D4C">
      <w:pPr>
        <w:autoSpaceDE w:val="0"/>
        <w:autoSpaceDN w:val="0"/>
        <w:adjustRightInd w:val="0"/>
        <w:spacing w:line="240" w:lineRule="auto"/>
        <w:contextualSpacing/>
        <w:rPr>
          <w:rFonts w:ascii="Arial" w:hAnsi="Arial" w:cs="Arial"/>
          <w:b/>
        </w:rPr>
      </w:pPr>
    </w:p>
    <w:p w:rsidR="001636FD" w:rsidRPr="00A05E9D" w:rsidRDefault="00512E5A" w:rsidP="00DC5D4C">
      <w:pPr>
        <w:autoSpaceDE w:val="0"/>
        <w:autoSpaceDN w:val="0"/>
        <w:adjustRightInd w:val="0"/>
        <w:spacing w:line="240" w:lineRule="auto"/>
        <w:contextualSpacing/>
        <w:rPr>
          <w:rFonts w:ascii="Arial" w:hAnsi="Arial" w:cs="Arial"/>
          <w:b/>
        </w:rPr>
      </w:pPr>
      <w:r>
        <w:rPr>
          <w:rFonts w:ascii="Arial" w:hAnsi="Arial" w:cs="Arial"/>
          <w:b/>
        </w:rPr>
        <w:t>T</w:t>
      </w:r>
      <w:r w:rsidR="00105250">
        <w:rPr>
          <w:rFonts w:ascii="Arial" w:hAnsi="Arial" w:cs="Arial"/>
          <w:b/>
        </w:rPr>
        <w:t>he Child-only Metho</w:t>
      </w:r>
      <w:r w:rsidR="00C10368">
        <w:rPr>
          <w:rFonts w:ascii="Arial" w:hAnsi="Arial" w:cs="Arial"/>
          <w:b/>
        </w:rPr>
        <w:t>d</w:t>
      </w:r>
    </w:p>
    <w:p w:rsidR="001636FD" w:rsidRPr="00A05E9D" w:rsidRDefault="001636FD" w:rsidP="00DC5D4C">
      <w:pPr>
        <w:autoSpaceDE w:val="0"/>
        <w:autoSpaceDN w:val="0"/>
        <w:adjustRightInd w:val="0"/>
        <w:spacing w:line="240" w:lineRule="auto"/>
        <w:contextualSpacing/>
        <w:rPr>
          <w:rFonts w:ascii="Arial" w:hAnsi="Arial" w:cs="Arial"/>
        </w:rPr>
      </w:pPr>
    </w:p>
    <w:p w:rsidR="00B130B7" w:rsidRPr="00A05E9D" w:rsidRDefault="00AF2551" w:rsidP="00B05429">
      <w:pPr>
        <w:autoSpaceDE w:val="0"/>
        <w:autoSpaceDN w:val="0"/>
        <w:adjustRightInd w:val="0"/>
        <w:spacing w:line="240" w:lineRule="auto"/>
        <w:contextualSpacing/>
        <w:rPr>
          <w:rFonts w:ascii="Arial" w:hAnsi="Arial" w:cs="Arial"/>
        </w:rPr>
      </w:pPr>
      <w:r w:rsidRPr="00A05E9D">
        <w:rPr>
          <w:rFonts w:ascii="Arial" w:hAnsi="Arial" w:cs="Arial"/>
        </w:rPr>
        <w:t>T</w:t>
      </w:r>
      <w:r w:rsidR="0079023B">
        <w:rPr>
          <w:rFonts w:ascii="Arial" w:hAnsi="Arial" w:cs="Arial"/>
        </w:rPr>
        <w:t xml:space="preserve">he next step was to develop </w:t>
      </w:r>
      <w:r w:rsidR="003F5914">
        <w:rPr>
          <w:rFonts w:ascii="Arial" w:hAnsi="Arial" w:cs="Arial"/>
        </w:rPr>
        <w:t>a</w:t>
      </w:r>
      <w:r w:rsidRPr="00A05E9D">
        <w:rPr>
          <w:rFonts w:ascii="Arial" w:hAnsi="Arial" w:cs="Arial"/>
        </w:rPr>
        <w:t xml:space="preserve"> method</w:t>
      </w:r>
      <w:r w:rsidR="003F5914">
        <w:rPr>
          <w:rFonts w:ascii="Arial" w:hAnsi="Arial" w:cs="Arial"/>
        </w:rPr>
        <w:t xml:space="preserve">ology for estimating </w:t>
      </w:r>
      <w:r w:rsidR="00BC6989">
        <w:rPr>
          <w:rFonts w:ascii="Arial" w:hAnsi="Arial" w:cs="Arial"/>
        </w:rPr>
        <w:t>the number of undocumented immigrant adults so they could be removed from the denominator</w:t>
      </w:r>
      <w:r w:rsidR="007B48F8">
        <w:rPr>
          <w:rFonts w:ascii="Arial" w:hAnsi="Arial" w:cs="Arial"/>
        </w:rPr>
        <w:t>.</w:t>
      </w:r>
      <w:r w:rsidR="003F5914">
        <w:rPr>
          <w:rFonts w:ascii="Arial" w:hAnsi="Arial" w:cs="Arial"/>
        </w:rPr>
        <w:t xml:space="preserve"> </w:t>
      </w:r>
      <w:r w:rsidR="00C9768E" w:rsidRPr="00A05E9D">
        <w:rPr>
          <w:rFonts w:ascii="Arial" w:hAnsi="Arial" w:cs="Arial"/>
        </w:rPr>
        <w:t xml:space="preserve"> </w:t>
      </w:r>
      <w:r w:rsidR="003F5914">
        <w:rPr>
          <w:rFonts w:ascii="Arial" w:hAnsi="Arial" w:cs="Arial"/>
        </w:rPr>
        <w:t>This</w:t>
      </w:r>
      <w:r w:rsidR="00930DA6">
        <w:rPr>
          <w:rFonts w:ascii="Arial" w:hAnsi="Arial" w:cs="Arial"/>
        </w:rPr>
        <w:t xml:space="preserve"> methodology adds </w:t>
      </w:r>
      <w:r w:rsidR="00B22C77">
        <w:rPr>
          <w:rFonts w:ascii="Arial" w:hAnsi="Arial" w:cs="Arial"/>
        </w:rPr>
        <w:t>two</w:t>
      </w:r>
      <w:r w:rsidR="0098414D">
        <w:rPr>
          <w:rFonts w:ascii="Arial" w:hAnsi="Arial" w:cs="Arial"/>
        </w:rPr>
        <w:t xml:space="preserve"> basic</w:t>
      </w:r>
      <w:r w:rsidR="00B130B7" w:rsidRPr="00A05E9D">
        <w:rPr>
          <w:rFonts w:ascii="Arial" w:hAnsi="Arial" w:cs="Arial"/>
        </w:rPr>
        <w:t xml:space="preserve"> assumptions</w:t>
      </w:r>
      <w:r w:rsidR="00930DA6">
        <w:rPr>
          <w:rFonts w:ascii="Arial" w:hAnsi="Arial" w:cs="Arial"/>
        </w:rPr>
        <w:t xml:space="preserve"> to the PRI</w:t>
      </w:r>
      <w:r w:rsidR="00316314">
        <w:rPr>
          <w:rFonts w:ascii="Arial" w:hAnsi="Arial" w:cs="Arial"/>
        </w:rPr>
        <w:t>.</w:t>
      </w:r>
    </w:p>
    <w:p w:rsidR="00B130B7" w:rsidRPr="00A05E9D" w:rsidRDefault="00B130B7" w:rsidP="00B05429">
      <w:pPr>
        <w:autoSpaceDE w:val="0"/>
        <w:autoSpaceDN w:val="0"/>
        <w:adjustRightInd w:val="0"/>
        <w:spacing w:line="240" w:lineRule="auto"/>
        <w:contextualSpacing/>
        <w:rPr>
          <w:rFonts w:ascii="Arial" w:hAnsi="Arial" w:cs="Arial"/>
        </w:rPr>
      </w:pPr>
    </w:p>
    <w:p w:rsidR="001636FD" w:rsidRDefault="00414042" w:rsidP="00B05429">
      <w:pPr>
        <w:autoSpaceDE w:val="0"/>
        <w:autoSpaceDN w:val="0"/>
        <w:adjustRightInd w:val="0"/>
        <w:spacing w:line="240" w:lineRule="auto"/>
        <w:contextualSpacing/>
        <w:rPr>
          <w:rFonts w:ascii="Arial" w:hAnsi="Arial" w:cs="Arial"/>
          <w:color w:val="000000"/>
        </w:rPr>
      </w:pPr>
      <w:r w:rsidRPr="00A05E9D">
        <w:rPr>
          <w:rFonts w:ascii="Arial" w:hAnsi="Arial" w:cs="Arial"/>
          <w:b/>
          <w:bCs/>
          <w:color w:val="000000"/>
        </w:rPr>
        <w:t>A</w:t>
      </w:r>
      <w:r w:rsidR="001636FD" w:rsidRPr="00A05E9D">
        <w:rPr>
          <w:rFonts w:ascii="Arial" w:hAnsi="Arial" w:cs="Arial"/>
          <w:b/>
          <w:bCs/>
          <w:color w:val="000000"/>
        </w:rPr>
        <w:t>ssumption</w:t>
      </w:r>
      <w:r w:rsidR="00930DA6">
        <w:rPr>
          <w:rFonts w:ascii="Arial" w:hAnsi="Arial" w:cs="Arial"/>
          <w:b/>
          <w:bCs/>
          <w:color w:val="000000"/>
        </w:rPr>
        <w:t xml:space="preserve"> 1</w:t>
      </w:r>
      <w:r w:rsidR="001636FD" w:rsidRPr="00A05E9D">
        <w:rPr>
          <w:rFonts w:ascii="Arial" w:hAnsi="Arial" w:cs="Arial"/>
          <w:b/>
          <w:bCs/>
          <w:color w:val="000000"/>
        </w:rPr>
        <w:t xml:space="preserve">:   </w:t>
      </w:r>
      <w:r w:rsidR="00C82BA6">
        <w:rPr>
          <w:rFonts w:ascii="Arial" w:hAnsi="Arial" w:cs="Arial"/>
          <w:color w:val="000000"/>
        </w:rPr>
        <w:t>Adults in 94</w:t>
      </w:r>
      <w:r w:rsidR="001636FD" w:rsidRPr="00A05E9D">
        <w:rPr>
          <w:rFonts w:ascii="Arial" w:hAnsi="Arial" w:cs="Arial"/>
          <w:color w:val="000000"/>
        </w:rPr>
        <w:t xml:space="preserve"> </w:t>
      </w:r>
      <w:r w:rsidR="00477B67">
        <w:rPr>
          <w:rFonts w:ascii="Arial" w:hAnsi="Arial" w:cs="Arial"/>
          <w:color w:val="000000"/>
        </w:rPr>
        <w:t>perc</w:t>
      </w:r>
      <w:r w:rsidR="00B560E6">
        <w:rPr>
          <w:rFonts w:ascii="Arial" w:hAnsi="Arial" w:cs="Arial"/>
          <w:color w:val="000000"/>
        </w:rPr>
        <w:t>ent of CCO</w:t>
      </w:r>
      <w:r w:rsidR="00477B67">
        <w:rPr>
          <w:rFonts w:ascii="Arial" w:hAnsi="Arial" w:cs="Arial"/>
          <w:color w:val="000000"/>
        </w:rPr>
        <w:t xml:space="preserve"> households</w:t>
      </w:r>
      <w:r w:rsidR="001636FD" w:rsidRPr="00A05E9D">
        <w:rPr>
          <w:rFonts w:ascii="Arial" w:hAnsi="Arial" w:cs="Arial"/>
          <w:color w:val="000000"/>
        </w:rPr>
        <w:t xml:space="preserve"> are ineligible to receive CalFresh due to citizenship status</w:t>
      </w:r>
      <w:r w:rsidR="00930DA6">
        <w:rPr>
          <w:rFonts w:ascii="Arial" w:hAnsi="Arial" w:cs="Arial"/>
          <w:color w:val="000000"/>
        </w:rPr>
        <w:t xml:space="preserve"> </w:t>
      </w:r>
      <w:r w:rsidR="00B560E6">
        <w:rPr>
          <w:rFonts w:ascii="Arial" w:hAnsi="Arial" w:cs="Arial"/>
          <w:color w:val="000000"/>
        </w:rPr>
        <w:t>while</w:t>
      </w:r>
      <w:r w:rsidR="00930DA6">
        <w:rPr>
          <w:rFonts w:ascii="Arial" w:hAnsi="Arial" w:cs="Arial"/>
          <w:color w:val="000000"/>
        </w:rPr>
        <w:t xml:space="preserve"> </w:t>
      </w:r>
      <w:r w:rsidR="00477B67">
        <w:rPr>
          <w:rFonts w:ascii="Arial" w:hAnsi="Arial" w:cs="Arial"/>
          <w:color w:val="000000"/>
        </w:rPr>
        <w:t xml:space="preserve">adults in </w:t>
      </w:r>
      <w:r w:rsidR="00B560E6">
        <w:rPr>
          <w:rFonts w:ascii="Arial" w:hAnsi="Arial" w:cs="Arial"/>
          <w:color w:val="000000"/>
        </w:rPr>
        <w:t xml:space="preserve">the remaining </w:t>
      </w:r>
      <w:r w:rsidR="00C82BA6">
        <w:rPr>
          <w:rFonts w:ascii="Arial" w:hAnsi="Arial" w:cs="Arial"/>
          <w:color w:val="000000"/>
        </w:rPr>
        <w:t>6</w:t>
      </w:r>
      <w:r w:rsidR="00930DA6" w:rsidRPr="00A05E9D">
        <w:rPr>
          <w:rFonts w:ascii="Arial" w:hAnsi="Arial" w:cs="Arial"/>
          <w:color w:val="000000"/>
        </w:rPr>
        <w:t xml:space="preserve"> </w:t>
      </w:r>
      <w:r w:rsidR="00477B67">
        <w:rPr>
          <w:rFonts w:ascii="Arial" w:hAnsi="Arial" w:cs="Arial"/>
          <w:color w:val="000000"/>
        </w:rPr>
        <w:t>percent</w:t>
      </w:r>
      <w:r w:rsidR="00930DA6" w:rsidRPr="00A05E9D">
        <w:rPr>
          <w:rFonts w:ascii="Arial" w:hAnsi="Arial" w:cs="Arial"/>
          <w:color w:val="000000"/>
        </w:rPr>
        <w:t xml:space="preserve"> are ineligible to receive CalFresh due to reasons</w:t>
      </w:r>
      <w:r w:rsidR="00930DA6">
        <w:rPr>
          <w:rFonts w:ascii="Arial" w:hAnsi="Arial" w:cs="Arial"/>
          <w:color w:val="000000"/>
        </w:rPr>
        <w:t xml:space="preserve"> other than citizenship status</w:t>
      </w:r>
      <w:r w:rsidR="00477B67">
        <w:rPr>
          <w:rFonts w:ascii="Arial" w:hAnsi="Arial" w:cs="Arial"/>
          <w:color w:val="000000"/>
        </w:rPr>
        <w:t>, such as SSI/SSP receipt</w:t>
      </w:r>
      <w:r w:rsidR="001636FD" w:rsidRPr="00A05E9D">
        <w:rPr>
          <w:rFonts w:ascii="Arial" w:hAnsi="Arial" w:cs="Arial"/>
          <w:color w:val="000000"/>
        </w:rPr>
        <w:t>.</w:t>
      </w:r>
    </w:p>
    <w:p w:rsidR="00B05429" w:rsidRDefault="00B05429" w:rsidP="00B05429">
      <w:pPr>
        <w:autoSpaceDE w:val="0"/>
        <w:autoSpaceDN w:val="0"/>
        <w:adjustRightInd w:val="0"/>
        <w:spacing w:line="240" w:lineRule="auto"/>
        <w:contextualSpacing/>
        <w:rPr>
          <w:rFonts w:ascii="Arial" w:hAnsi="Arial" w:cs="Arial"/>
          <w:color w:val="000000"/>
        </w:rPr>
      </w:pPr>
    </w:p>
    <w:p w:rsidR="00B05429" w:rsidRDefault="00477B67" w:rsidP="00823424">
      <w:pPr>
        <w:autoSpaceDE w:val="0"/>
        <w:autoSpaceDN w:val="0"/>
        <w:adjustRightInd w:val="0"/>
        <w:spacing w:line="240" w:lineRule="auto"/>
        <w:contextualSpacing/>
        <w:rPr>
          <w:rFonts w:ascii="Arial" w:hAnsi="Arial" w:cs="Arial"/>
          <w:color w:val="000000"/>
        </w:rPr>
      </w:pPr>
      <w:r>
        <w:rPr>
          <w:rFonts w:ascii="Arial" w:hAnsi="Arial" w:cs="Arial"/>
          <w:color w:val="000000"/>
        </w:rPr>
        <w:t xml:space="preserve">This assumption is based on analysis of </w:t>
      </w:r>
      <w:r w:rsidR="00823424">
        <w:rPr>
          <w:rFonts w:ascii="Arial" w:hAnsi="Arial" w:cs="Arial"/>
          <w:color w:val="000000"/>
        </w:rPr>
        <w:t xml:space="preserve">data for </w:t>
      </w:r>
      <w:r>
        <w:rPr>
          <w:rFonts w:ascii="Arial" w:hAnsi="Arial" w:cs="Arial"/>
          <w:color w:val="000000"/>
        </w:rPr>
        <w:t>counties in t</w:t>
      </w:r>
      <w:r w:rsidR="000848EC">
        <w:rPr>
          <w:rFonts w:ascii="Arial" w:hAnsi="Arial" w:cs="Arial"/>
          <w:color w:val="000000"/>
        </w:rPr>
        <w:t>he region of California that had</w:t>
      </w:r>
      <w:r>
        <w:rPr>
          <w:rFonts w:ascii="Arial" w:hAnsi="Arial" w:cs="Arial"/>
          <w:color w:val="000000"/>
        </w:rPr>
        <w:t xml:space="preserve"> the </w:t>
      </w:r>
      <w:r w:rsidR="00344A27">
        <w:rPr>
          <w:rFonts w:ascii="Arial" w:hAnsi="Arial" w:cs="Arial"/>
          <w:color w:val="000000"/>
        </w:rPr>
        <w:t>highest PAI</w:t>
      </w:r>
      <w:r w:rsidR="000848EC">
        <w:rPr>
          <w:rFonts w:ascii="Arial" w:hAnsi="Arial" w:cs="Arial"/>
          <w:color w:val="000000"/>
        </w:rPr>
        <w:t xml:space="preserve"> in 2010</w:t>
      </w:r>
      <w:r w:rsidR="00344A27">
        <w:rPr>
          <w:rFonts w:ascii="Arial" w:hAnsi="Arial" w:cs="Arial"/>
          <w:color w:val="000000"/>
        </w:rPr>
        <w:t xml:space="preserve">, </w:t>
      </w:r>
      <w:r w:rsidR="00344A27" w:rsidRPr="00C379FC">
        <w:rPr>
          <w:rFonts w:ascii="Arial" w:hAnsi="Arial" w:cs="Arial"/>
          <w:color w:val="000000"/>
        </w:rPr>
        <w:t xml:space="preserve">according to </w:t>
      </w:r>
      <w:r w:rsidR="000848EC" w:rsidRPr="00C379FC">
        <w:rPr>
          <w:rFonts w:ascii="Arial" w:hAnsi="Arial" w:cs="Arial"/>
          <w:color w:val="000000"/>
        </w:rPr>
        <w:t>county</w:t>
      </w:r>
      <w:r w:rsidR="000848EC" w:rsidRPr="00C379FC">
        <w:rPr>
          <w:rFonts w:ascii="Arial" w:hAnsi="Arial" w:cs="Arial"/>
          <w:color w:val="000000"/>
        </w:rPr>
        <w:noBreakHyphen/>
        <w:t>level estimates from</w:t>
      </w:r>
      <w:r w:rsidR="00344A27" w:rsidRPr="00C379FC">
        <w:rPr>
          <w:rFonts w:ascii="Arial" w:hAnsi="Arial" w:cs="Arial"/>
          <w:color w:val="000000"/>
        </w:rPr>
        <w:t xml:space="preserve"> </w:t>
      </w:r>
      <w:r w:rsidR="00C379FC" w:rsidRPr="00C379FC">
        <w:rPr>
          <w:rFonts w:ascii="Arial" w:hAnsi="Arial" w:cs="Arial"/>
          <w:color w:val="000000"/>
        </w:rPr>
        <w:t>CFPA</w:t>
      </w:r>
      <w:r w:rsidRPr="00C379FC">
        <w:rPr>
          <w:rFonts w:ascii="Arial" w:hAnsi="Arial" w:cs="Arial"/>
          <w:color w:val="000000"/>
        </w:rPr>
        <w:t xml:space="preserve">:  </w:t>
      </w:r>
      <w:r>
        <w:rPr>
          <w:rFonts w:ascii="Arial" w:hAnsi="Arial" w:cs="Arial"/>
          <w:color w:val="000000"/>
        </w:rPr>
        <w:t>the North and Mountain Region.</w:t>
      </w:r>
      <w:r w:rsidR="009869AC">
        <w:rPr>
          <w:rStyle w:val="FootnoteReference"/>
          <w:rFonts w:ascii="Arial" w:hAnsi="Arial" w:cs="Arial"/>
          <w:color w:val="000000"/>
        </w:rPr>
        <w:footnoteReference w:id="9"/>
      </w:r>
      <w:r w:rsidR="009869AC">
        <w:rPr>
          <w:rFonts w:ascii="Arial" w:hAnsi="Arial" w:cs="Arial"/>
          <w:color w:val="000000"/>
        </w:rPr>
        <w:t xml:space="preserve">  </w:t>
      </w:r>
      <w:r w:rsidR="00344A27">
        <w:rPr>
          <w:rFonts w:ascii="Arial" w:hAnsi="Arial" w:cs="Arial"/>
          <w:color w:val="000000"/>
        </w:rPr>
        <w:t>The methodology assumes that this region has relatively few undocumented immigrants and that CCO households in this region are child-only almost entirely due to reasons other than citizenship.</w:t>
      </w:r>
      <w:r w:rsidR="00A831D7">
        <w:rPr>
          <w:rStyle w:val="FootnoteReference"/>
          <w:rFonts w:ascii="Arial" w:hAnsi="Arial" w:cs="Arial"/>
          <w:color w:val="000000"/>
        </w:rPr>
        <w:footnoteReference w:id="10"/>
      </w:r>
      <w:r w:rsidR="00344A27">
        <w:rPr>
          <w:rFonts w:ascii="Arial" w:hAnsi="Arial" w:cs="Arial"/>
          <w:color w:val="000000"/>
        </w:rPr>
        <w:t xml:space="preserve">  </w:t>
      </w:r>
      <w:r w:rsidR="009869AC">
        <w:rPr>
          <w:rFonts w:ascii="Arial" w:hAnsi="Arial" w:cs="Arial"/>
          <w:color w:val="000000"/>
        </w:rPr>
        <w:t>The median share of CCO households among all CalFresh households in counties in this region</w:t>
      </w:r>
      <w:r>
        <w:rPr>
          <w:rFonts w:ascii="Arial" w:hAnsi="Arial" w:cs="Arial"/>
          <w:color w:val="000000"/>
        </w:rPr>
        <w:t xml:space="preserve"> </w:t>
      </w:r>
      <w:r w:rsidR="009869AC">
        <w:rPr>
          <w:rFonts w:ascii="Arial" w:hAnsi="Arial" w:cs="Arial"/>
          <w:color w:val="000000"/>
        </w:rPr>
        <w:t xml:space="preserve">is </w:t>
      </w:r>
      <w:r w:rsidR="00183C6A">
        <w:rPr>
          <w:rFonts w:ascii="Arial" w:hAnsi="Arial" w:cs="Arial"/>
          <w:color w:val="000000"/>
        </w:rPr>
        <w:t>6</w:t>
      </w:r>
      <w:r w:rsidR="009869AC">
        <w:rPr>
          <w:rFonts w:ascii="Arial" w:hAnsi="Arial" w:cs="Arial"/>
          <w:color w:val="000000"/>
        </w:rPr>
        <w:t xml:space="preserve"> percent.  </w:t>
      </w:r>
    </w:p>
    <w:p w:rsidR="00930DA6" w:rsidRDefault="00930DA6" w:rsidP="003D2599">
      <w:pPr>
        <w:autoSpaceDE w:val="0"/>
        <w:autoSpaceDN w:val="0"/>
        <w:adjustRightInd w:val="0"/>
        <w:spacing w:line="240" w:lineRule="auto"/>
        <w:contextualSpacing/>
        <w:rPr>
          <w:rFonts w:ascii="Arial" w:hAnsi="Arial" w:cs="Arial"/>
          <w:color w:val="000000"/>
        </w:rPr>
      </w:pPr>
    </w:p>
    <w:p w:rsidR="00440B0F" w:rsidRDefault="001636FD" w:rsidP="003D2599">
      <w:pPr>
        <w:spacing w:before="100" w:beforeAutospacing="1" w:after="100" w:afterAutospacing="1" w:line="240" w:lineRule="auto"/>
        <w:rPr>
          <w:rFonts w:ascii="Arial" w:hAnsi="Arial" w:cs="Arial"/>
          <w:bCs/>
          <w:color w:val="000000"/>
        </w:rPr>
      </w:pPr>
      <w:r w:rsidRPr="00A05E9D">
        <w:rPr>
          <w:rFonts w:ascii="Arial" w:hAnsi="Arial" w:cs="Arial"/>
          <w:b/>
          <w:bCs/>
          <w:color w:val="000000"/>
        </w:rPr>
        <w:t xml:space="preserve">Assumption </w:t>
      </w:r>
      <w:r w:rsidR="00440B0F">
        <w:rPr>
          <w:rFonts w:ascii="Arial" w:hAnsi="Arial" w:cs="Arial"/>
          <w:b/>
          <w:bCs/>
          <w:color w:val="000000"/>
        </w:rPr>
        <w:t>2</w:t>
      </w:r>
      <w:r w:rsidRPr="00A05E9D">
        <w:rPr>
          <w:rFonts w:ascii="Arial" w:hAnsi="Arial" w:cs="Arial"/>
          <w:b/>
          <w:bCs/>
          <w:color w:val="000000"/>
        </w:rPr>
        <w:t xml:space="preserve">:   </w:t>
      </w:r>
      <w:r w:rsidR="00440B0F">
        <w:rPr>
          <w:rFonts w:ascii="Arial" w:hAnsi="Arial" w:cs="Arial"/>
          <w:bCs/>
          <w:color w:val="000000"/>
        </w:rPr>
        <w:t xml:space="preserve">On average, households </w:t>
      </w:r>
      <w:r w:rsidR="00A21406">
        <w:rPr>
          <w:rFonts w:ascii="Arial" w:hAnsi="Arial" w:cs="Arial"/>
          <w:bCs/>
          <w:color w:val="000000"/>
        </w:rPr>
        <w:t>with children and undocumented adults have 1.77 </w:t>
      </w:r>
      <w:r w:rsidR="00440B0F">
        <w:rPr>
          <w:rFonts w:ascii="Arial" w:hAnsi="Arial" w:cs="Arial"/>
          <w:bCs/>
          <w:color w:val="000000"/>
        </w:rPr>
        <w:t>adults</w:t>
      </w:r>
      <w:r w:rsidR="00A21406">
        <w:rPr>
          <w:rFonts w:ascii="Arial" w:hAnsi="Arial" w:cs="Arial"/>
          <w:bCs/>
          <w:color w:val="000000"/>
        </w:rPr>
        <w:t xml:space="preserve"> and households of undocumented </w:t>
      </w:r>
      <w:r w:rsidR="003D4994">
        <w:rPr>
          <w:rFonts w:ascii="Arial" w:hAnsi="Arial" w:cs="Arial"/>
          <w:bCs/>
          <w:color w:val="000000"/>
        </w:rPr>
        <w:t>adults and no children have 1.24</w:t>
      </w:r>
      <w:r w:rsidR="00A21406">
        <w:rPr>
          <w:rFonts w:ascii="Arial" w:hAnsi="Arial" w:cs="Arial"/>
          <w:bCs/>
          <w:color w:val="000000"/>
        </w:rPr>
        <w:t xml:space="preserve"> adults</w:t>
      </w:r>
      <w:r w:rsidR="00855C8D">
        <w:rPr>
          <w:rFonts w:ascii="Arial" w:hAnsi="Arial" w:cs="Arial"/>
          <w:bCs/>
          <w:color w:val="000000"/>
        </w:rPr>
        <w:t xml:space="preserve"> (Table 1)</w:t>
      </w:r>
      <w:r w:rsidR="00440B0F">
        <w:rPr>
          <w:rFonts w:ascii="Arial" w:hAnsi="Arial" w:cs="Arial"/>
          <w:bCs/>
          <w:color w:val="000000"/>
        </w:rPr>
        <w:t>.</w:t>
      </w:r>
      <w:r w:rsidR="003D2599">
        <w:rPr>
          <w:rFonts w:ascii="Arial" w:hAnsi="Arial" w:cs="Arial"/>
          <w:bCs/>
          <w:color w:val="000000"/>
        </w:rPr>
        <w:t xml:space="preserve">  The ratio of undocumented adults in households with children to undocumented adults in households without children is 0.7.</w:t>
      </w:r>
    </w:p>
    <w:p w:rsidR="00263619" w:rsidRDefault="00263619" w:rsidP="003D2599">
      <w:pPr>
        <w:spacing w:before="100" w:beforeAutospacing="1" w:after="100" w:afterAutospacing="1" w:line="240" w:lineRule="auto"/>
        <w:rPr>
          <w:rFonts w:ascii="Arial" w:hAnsi="Arial" w:cs="Arial"/>
          <w:bCs/>
          <w:color w:val="000000"/>
        </w:rPr>
      </w:pPr>
    </w:p>
    <w:p w:rsidR="00263619" w:rsidRDefault="00263619" w:rsidP="003D2599">
      <w:pPr>
        <w:spacing w:before="100" w:beforeAutospacing="1" w:after="100" w:afterAutospacing="1" w:line="240" w:lineRule="auto"/>
        <w:rPr>
          <w:rFonts w:ascii="Arial" w:hAnsi="Arial" w:cs="Arial"/>
          <w:bCs/>
          <w:color w:val="000000"/>
        </w:rPr>
      </w:pPr>
    </w:p>
    <w:p w:rsidR="00263619" w:rsidRDefault="00263619" w:rsidP="003D2599">
      <w:pPr>
        <w:spacing w:before="100" w:beforeAutospacing="1" w:after="100" w:afterAutospacing="1" w:line="240" w:lineRule="auto"/>
        <w:rPr>
          <w:rFonts w:ascii="Arial" w:hAnsi="Arial" w:cs="Arial"/>
          <w:bCs/>
          <w:color w:val="000000"/>
        </w:rPr>
      </w:pPr>
    </w:p>
    <w:p w:rsidR="00105250" w:rsidRDefault="00105250" w:rsidP="003D2599">
      <w:pPr>
        <w:spacing w:before="100" w:beforeAutospacing="1" w:after="100" w:afterAutospacing="1" w:line="240" w:lineRule="auto"/>
        <w:rPr>
          <w:rFonts w:ascii="Arial" w:hAnsi="Arial" w:cs="Arial"/>
          <w:bCs/>
          <w:color w:val="000000"/>
        </w:rPr>
      </w:pPr>
    </w:p>
    <w:p w:rsidR="00263619" w:rsidRDefault="00263619" w:rsidP="003D2599">
      <w:pPr>
        <w:spacing w:before="100" w:beforeAutospacing="1" w:after="100" w:afterAutospacing="1" w:line="240" w:lineRule="auto"/>
        <w:rPr>
          <w:rFonts w:ascii="Arial" w:hAnsi="Arial" w:cs="Arial"/>
          <w:bCs/>
          <w:color w:val="000000"/>
        </w:rPr>
      </w:pPr>
    </w:p>
    <w:p w:rsidR="00A21406" w:rsidRPr="00F96F24" w:rsidRDefault="00136521" w:rsidP="00A21406">
      <w:pPr>
        <w:spacing w:before="100" w:beforeAutospacing="1" w:after="0"/>
        <w:ind w:left="810"/>
        <w:rPr>
          <w:rFonts w:ascii="Arial" w:hAnsi="Arial" w:cs="Arial"/>
          <w:b/>
          <w:color w:val="000000"/>
        </w:rPr>
      </w:pPr>
      <w:r>
        <w:rPr>
          <w:rFonts w:ascii="Arial" w:hAnsi="Arial" w:cs="Arial"/>
          <w:b/>
          <w:color w:val="000000"/>
        </w:rPr>
        <w:lastRenderedPageBreak/>
        <w:t xml:space="preserve">Table 1.  </w:t>
      </w:r>
      <w:r w:rsidR="00A21406" w:rsidRPr="00F96F24">
        <w:rPr>
          <w:rFonts w:ascii="Arial" w:hAnsi="Arial" w:cs="Arial"/>
          <w:b/>
          <w:color w:val="000000"/>
        </w:rPr>
        <w:t>Characteristics of California Households with Undocumented Adults</w:t>
      </w:r>
    </w:p>
    <w:tbl>
      <w:tblPr>
        <w:tblStyle w:val="TableGrid"/>
        <w:tblW w:w="8666" w:type="dxa"/>
        <w:tblInd w:w="892" w:type="dxa"/>
        <w:tblLook w:val="04A0" w:firstRow="1" w:lastRow="0" w:firstColumn="1" w:lastColumn="0" w:noHBand="0" w:noVBand="1"/>
      </w:tblPr>
      <w:tblGrid>
        <w:gridCol w:w="2546"/>
        <w:gridCol w:w="3060"/>
        <w:gridCol w:w="2520"/>
        <w:gridCol w:w="522"/>
        <w:gridCol w:w="18"/>
      </w:tblGrid>
      <w:tr w:rsidR="0006195F" w:rsidRPr="00DC1E17" w:rsidTr="00263619">
        <w:trPr>
          <w:trHeight w:val="521"/>
        </w:trPr>
        <w:tc>
          <w:tcPr>
            <w:tcW w:w="2546" w:type="dxa"/>
            <w:noWrap/>
            <w:hideMark/>
          </w:tcPr>
          <w:p w:rsidR="0006195F" w:rsidRPr="00DC1E17" w:rsidRDefault="0006195F" w:rsidP="00BE5A94">
            <w:pPr>
              <w:spacing w:before="100" w:beforeAutospacing="1" w:after="100" w:afterAutospacing="1"/>
              <w:jc w:val="center"/>
              <w:rPr>
                <w:rFonts w:ascii="Arial" w:hAnsi="Arial" w:cs="Arial"/>
                <w:color w:val="000000"/>
              </w:rPr>
            </w:pPr>
            <w:r>
              <w:rPr>
                <w:rFonts w:ascii="Arial" w:hAnsi="Arial" w:cs="Arial"/>
                <w:color w:val="000000"/>
              </w:rPr>
              <w:t>Type of household</w:t>
            </w:r>
          </w:p>
        </w:tc>
        <w:tc>
          <w:tcPr>
            <w:tcW w:w="3060" w:type="dxa"/>
            <w:noWrap/>
            <w:hideMark/>
          </w:tcPr>
          <w:p w:rsidR="0006195F" w:rsidRDefault="0006195F" w:rsidP="00384F88">
            <w:pPr>
              <w:spacing w:before="100" w:beforeAutospacing="1"/>
              <w:jc w:val="center"/>
              <w:rPr>
                <w:rFonts w:ascii="Arial" w:hAnsi="Arial" w:cs="Arial"/>
                <w:color w:val="000000"/>
              </w:rPr>
            </w:pPr>
            <w:r w:rsidRPr="00DC1E17">
              <w:rPr>
                <w:rFonts w:ascii="Arial" w:hAnsi="Arial" w:cs="Arial"/>
                <w:color w:val="000000"/>
              </w:rPr>
              <w:t xml:space="preserve">Number </w:t>
            </w:r>
            <w:r>
              <w:rPr>
                <w:rFonts w:ascii="Arial" w:hAnsi="Arial" w:cs="Arial"/>
                <w:color w:val="000000"/>
              </w:rPr>
              <w:t>of households</w:t>
            </w:r>
          </w:p>
          <w:p w:rsidR="0006195F" w:rsidRPr="00DC1E17" w:rsidRDefault="0006195F" w:rsidP="0006195F">
            <w:pPr>
              <w:jc w:val="center"/>
              <w:rPr>
                <w:rFonts w:ascii="Arial" w:hAnsi="Arial" w:cs="Arial"/>
                <w:color w:val="000000"/>
              </w:rPr>
            </w:pPr>
            <w:r>
              <w:rPr>
                <w:rFonts w:ascii="Arial" w:hAnsi="Arial" w:cs="Arial"/>
                <w:color w:val="000000"/>
              </w:rPr>
              <w:t>(in thousands)</w:t>
            </w:r>
          </w:p>
        </w:tc>
        <w:tc>
          <w:tcPr>
            <w:tcW w:w="3060" w:type="dxa"/>
            <w:gridSpan w:val="3"/>
            <w:noWrap/>
            <w:hideMark/>
          </w:tcPr>
          <w:p w:rsidR="0013261E" w:rsidRDefault="0013261E" w:rsidP="0006195F">
            <w:pPr>
              <w:spacing w:before="100" w:beforeAutospacing="1"/>
              <w:jc w:val="center"/>
              <w:rPr>
                <w:rFonts w:ascii="Arial" w:hAnsi="Arial" w:cs="Arial"/>
                <w:color w:val="000000"/>
              </w:rPr>
            </w:pPr>
            <w:r>
              <w:rPr>
                <w:rFonts w:ascii="Arial" w:hAnsi="Arial" w:cs="Arial"/>
                <w:color w:val="000000"/>
              </w:rPr>
              <w:t>Average number of adults</w:t>
            </w:r>
          </w:p>
          <w:p w:rsidR="0006195F" w:rsidRPr="00DC1E17" w:rsidRDefault="0006195F" w:rsidP="0013261E">
            <w:pPr>
              <w:jc w:val="center"/>
              <w:rPr>
                <w:rFonts w:ascii="Arial" w:hAnsi="Arial" w:cs="Arial"/>
                <w:color w:val="000000"/>
              </w:rPr>
            </w:pPr>
            <w:r>
              <w:rPr>
                <w:rFonts w:ascii="Arial" w:hAnsi="Arial" w:cs="Arial"/>
                <w:color w:val="000000"/>
              </w:rPr>
              <w:t>per household</w:t>
            </w:r>
          </w:p>
        </w:tc>
      </w:tr>
      <w:tr w:rsidR="003D2599" w:rsidRPr="0061478D" w:rsidTr="00263619">
        <w:trPr>
          <w:trHeight w:val="251"/>
        </w:trPr>
        <w:tc>
          <w:tcPr>
            <w:tcW w:w="8666" w:type="dxa"/>
            <w:gridSpan w:val="5"/>
            <w:noWrap/>
            <w:hideMark/>
          </w:tcPr>
          <w:p w:rsidR="003D2599" w:rsidRPr="0061478D" w:rsidRDefault="003D2599" w:rsidP="00FC781C">
            <w:pPr>
              <w:spacing w:before="100" w:beforeAutospacing="1" w:after="100" w:afterAutospacing="1"/>
              <w:jc w:val="center"/>
              <w:rPr>
                <w:rFonts w:ascii="Arial" w:hAnsi="Arial" w:cs="Arial"/>
                <w:b/>
                <w:color w:val="000000"/>
              </w:rPr>
            </w:pPr>
            <w:r w:rsidRPr="0061478D">
              <w:rPr>
                <w:rFonts w:ascii="Arial" w:hAnsi="Arial" w:cs="Arial"/>
                <w:b/>
                <w:color w:val="000000"/>
              </w:rPr>
              <w:t>Households with Children</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Two parent</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507</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2</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One parent</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155</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 xml:space="preserve">*Other  </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9</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2</w:t>
            </w:r>
          </w:p>
        </w:tc>
      </w:tr>
      <w:tr w:rsidR="0006195F" w:rsidRPr="00DC1E17" w:rsidTr="00263619">
        <w:trPr>
          <w:trHeight w:val="300"/>
        </w:trPr>
        <w:tc>
          <w:tcPr>
            <w:tcW w:w="2546" w:type="dxa"/>
            <w:noWrap/>
          </w:tcPr>
          <w:p w:rsidR="0006195F" w:rsidRPr="00DC1E17" w:rsidRDefault="0006195F" w:rsidP="002C41F3">
            <w:pPr>
              <w:spacing w:before="100" w:beforeAutospacing="1" w:after="100" w:afterAutospacing="1"/>
              <w:rPr>
                <w:rFonts w:ascii="Arial" w:hAnsi="Arial" w:cs="Arial"/>
                <w:color w:val="000000"/>
              </w:rPr>
            </w:pPr>
            <w:r w:rsidRPr="00DC1E17">
              <w:rPr>
                <w:rFonts w:ascii="Arial" w:hAnsi="Arial" w:cs="Arial"/>
                <w:color w:val="000000"/>
              </w:rPr>
              <w:t>Total</w:t>
            </w:r>
          </w:p>
        </w:tc>
        <w:tc>
          <w:tcPr>
            <w:tcW w:w="3060" w:type="dxa"/>
            <w:noWrap/>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671</w:t>
            </w:r>
          </w:p>
        </w:tc>
        <w:tc>
          <w:tcPr>
            <w:tcW w:w="3060" w:type="dxa"/>
            <w:gridSpan w:val="3"/>
            <w:noWrap/>
          </w:tcPr>
          <w:p w:rsidR="0006195F" w:rsidRDefault="0006195F" w:rsidP="00384F88">
            <w:pPr>
              <w:spacing w:before="100" w:beforeAutospacing="1" w:after="100" w:afterAutospacing="1"/>
              <w:jc w:val="center"/>
              <w:rPr>
                <w:rFonts w:ascii="Arial" w:hAnsi="Arial" w:cs="Arial"/>
                <w:color w:val="000000"/>
              </w:rPr>
            </w:pPr>
          </w:p>
        </w:tc>
      </w:tr>
      <w:tr w:rsidR="0006195F" w:rsidRPr="00DC1E17" w:rsidTr="00263619">
        <w:trPr>
          <w:trHeight w:val="300"/>
        </w:trPr>
        <w:tc>
          <w:tcPr>
            <w:tcW w:w="2546" w:type="dxa"/>
            <w:noWrap/>
          </w:tcPr>
          <w:p w:rsidR="0006195F" w:rsidRPr="00DC1E17" w:rsidRDefault="0006195F" w:rsidP="00FC781C">
            <w:pPr>
              <w:spacing w:before="100" w:beforeAutospacing="1" w:after="100" w:afterAutospacing="1"/>
              <w:rPr>
                <w:rFonts w:ascii="Arial" w:hAnsi="Arial" w:cs="Arial"/>
                <w:color w:val="000000"/>
              </w:rPr>
            </w:pPr>
            <w:r>
              <w:rPr>
                <w:rFonts w:ascii="Arial" w:hAnsi="Arial" w:cs="Arial"/>
                <w:color w:val="000000"/>
              </w:rPr>
              <w:t>Weighted average</w:t>
            </w:r>
          </w:p>
        </w:tc>
        <w:tc>
          <w:tcPr>
            <w:tcW w:w="3060" w:type="dxa"/>
            <w:noWrap/>
          </w:tcPr>
          <w:p w:rsidR="0006195F" w:rsidRPr="00DC1E17" w:rsidRDefault="0006195F" w:rsidP="00FC781C">
            <w:pPr>
              <w:spacing w:before="100" w:beforeAutospacing="1" w:after="100" w:afterAutospacing="1"/>
              <w:rPr>
                <w:rFonts w:ascii="Arial" w:hAnsi="Arial" w:cs="Arial"/>
                <w:color w:val="000000"/>
              </w:rPr>
            </w:pP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w:t>
            </w:r>
            <w:r>
              <w:rPr>
                <w:rFonts w:ascii="Arial" w:hAnsi="Arial" w:cs="Arial"/>
                <w:color w:val="000000"/>
              </w:rPr>
              <w:t>.77</w:t>
            </w:r>
          </w:p>
        </w:tc>
      </w:tr>
      <w:tr w:rsidR="00F96F24" w:rsidRPr="0061478D" w:rsidTr="00263619">
        <w:trPr>
          <w:trHeight w:val="215"/>
        </w:trPr>
        <w:tc>
          <w:tcPr>
            <w:tcW w:w="8666" w:type="dxa"/>
            <w:gridSpan w:val="5"/>
            <w:noWrap/>
            <w:hideMark/>
          </w:tcPr>
          <w:p w:rsidR="00F96F24" w:rsidRPr="0061478D" w:rsidRDefault="00F96F24" w:rsidP="00384F88">
            <w:pPr>
              <w:spacing w:before="100" w:beforeAutospacing="1" w:after="100" w:afterAutospacing="1"/>
              <w:jc w:val="center"/>
              <w:rPr>
                <w:rFonts w:ascii="Arial" w:hAnsi="Arial" w:cs="Arial"/>
                <w:b/>
                <w:color w:val="000000"/>
              </w:rPr>
            </w:pPr>
            <w:r w:rsidRPr="0061478D">
              <w:rPr>
                <w:rFonts w:ascii="Arial" w:hAnsi="Arial" w:cs="Arial"/>
                <w:b/>
                <w:color w:val="000000"/>
              </w:rPr>
              <w:t>Households without Children</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Married couple</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118</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2</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**Other families</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29</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3</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Solo adult men</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435</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w:t>
            </w:r>
          </w:p>
        </w:tc>
      </w:tr>
      <w:tr w:rsidR="0006195F" w:rsidRPr="00DC1E17" w:rsidTr="00263619">
        <w:trPr>
          <w:trHeight w:val="300"/>
        </w:trPr>
        <w:tc>
          <w:tcPr>
            <w:tcW w:w="2546" w:type="dxa"/>
            <w:noWrap/>
            <w:hideMark/>
          </w:tcPr>
          <w:p w:rsidR="0006195F" w:rsidRPr="00DC1E17" w:rsidRDefault="0006195F" w:rsidP="00FC781C">
            <w:pPr>
              <w:spacing w:before="100" w:beforeAutospacing="1" w:after="100" w:afterAutospacing="1"/>
              <w:rPr>
                <w:rFonts w:ascii="Arial" w:hAnsi="Arial" w:cs="Arial"/>
                <w:color w:val="000000"/>
              </w:rPr>
            </w:pPr>
            <w:r w:rsidRPr="00DC1E17">
              <w:rPr>
                <w:rFonts w:ascii="Arial" w:hAnsi="Arial" w:cs="Arial"/>
                <w:color w:val="000000"/>
              </w:rPr>
              <w:t>Solo adult women</w:t>
            </w:r>
          </w:p>
        </w:tc>
        <w:tc>
          <w:tcPr>
            <w:tcW w:w="3060" w:type="dxa"/>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137</w:t>
            </w:r>
          </w:p>
        </w:tc>
        <w:tc>
          <w:tcPr>
            <w:tcW w:w="3060" w:type="dxa"/>
            <w:gridSpan w:val="3"/>
            <w:noWrap/>
            <w:hideMark/>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1</w:t>
            </w:r>
          </w:p>
        </w:tc>
      </w:tr>
      <w:tr w:rsidR="0006195F" w:rsidRPr="00DC1E17" w:rsidTr="00263619">
        <w:trPr>
          <w:trHeight w:val="300"/>
        </w:trPr>
        <w:tc>
          <w:tcPr>
            <w:tcW w:w="2546" w:type="dxa"/>
            <w:noWrap/>
          </w:tcPr>
          <w:p w:rsidR="0006195F" w:rsidRPr="00DC1E17" w:rsidRDefault="0006195F" w:rsidP="002C41F3">
            <w:pPr>
              <w:spacing w:before="100" w:beforeAutospacing="1" w:after="100" w:afterAutospacing="1"/>
              <w:rPr>
                <w:rFonts w:ascii="Arial" w:hAnsi="Arial" w:cs="Arial"/>
                <w:color w:val="000000"/>
              </w:rPr>
            </w:pPr>
            <w:r w:rsidRPr="00DC1E17">
              <w:rPr>
                <w:rFonts w:ascii="Arial" w:hAnsi="Arial" w:cs="Arial"/>
                <w:color w:val="000000"/>
              </w:rPr>
              <w:t>Total</w:t>
            </w:r>
          </w:p>
        </w:tc>
        <w:tc>
          <w:tcPr>
            <w:tcW w:w="3060" w:type="dxa"/>
            <w:noWrap/>
          </w:tcPr>
          <w:p w:rsidR="0006195F" w:rsidRPr="00DC1E17" w:rsidRDefault="0006195F" w:rsidP="00384F88">
            <w:pPr>
              <w:spacing w:before="100" w:beforeAutospacing="1" w:after="100" w:afterAutospacing="1"/>
              <w:jc w:val="center"/>
              <w:rPr>
                <w:rFonts w:ascii="Arial" w:hAnsi="Arial" w:cs="Arial"/>
                <w:color w:val="000000"/>
              </w:rPr>
            </w:pPr>
            <w:r w:rsidRPr="00DC1E17">
              <w:rPr>
                <w:rFonts w:ascii="Arial" w:hAnsi="Arial" w:cs="Arial"/>
                <w:color w:val="000000"/>
              </w:rPr>
              <w:t>719</w:t>
            </w:r>
          </w:p>
        </w:tc>
        <w:tc>
          <w:tcPr>
            <w:tcW w:w="3060" w:type="dxa"/>
            <w:gridSpan w:val="3"/>
            <w:noWrap/>
          </w:tcPr>
          <w:p w:rsidR="0006195F" w:rsidRDefault="0006195F" w:rsidP="00384F88">
            <w:pPr>
              <w:spacing w:before="100" w:beforeAutospacing="1" w:after="100" w:afterAutospacing="1"/>
              <w:jc w:val="center"/>
              <w:rPr>
                <w:rFonts w:ascii="Arial" w:hAnsi="Arial" w:cs="Arial"/>
                <w:color w:val="000000"/>
              </w:rPr>
            </w:pPr>
          </w:p>
        </w:tc>
      </w:tr>
      <w:tr w:rsidR="0006195F" w:rsidRPr="00DC1E17" w:rsidTr="00263619">
        <w:trPr>
          <w:trHeight w:val="300"/>
        </w:trPr>
        <w:tc>
          <w:tcPr>
            <w:tcW w:w="2546" w:type="dxa"/>
            <w:tcBorders>
              <w:bottom w:val="single" w:sz="4" w:space="0" w:color="auto"/>
            </w:tcBorders>
            <w:noWrap/>
          </w:tcPr>
          <w:p w:rsidR="0006195F" w:rsidRPr="00DC1E17" w:rsidRDefault="0006195F" w:rsidP="00FC781C">
            <w:pPr>
              <w:spacing w:before="100" w:beforeAutospacing="1" w:after="100" w:afterAutospacing="1"/>
              <w:rPr>
                <w:rFonts w:ascii="Arial" w:hAnsi="Arial" w:cs="Arial"/>
                <w:color w:val="000000"/>
              </w:rPr>
            </w:pPr>
            <w:r>
              <w:rPr>
                <w:rFonts w:ascii="Arial" w:hAnsi="Arial" w:cs="Arial"/>
                <w:color w:val="000000"/>
              </w:rPr>
              <w:t>Weighted average</w:t>
            </w:r>
          </w:p>
        </w:tc>
        <w:tc>
          <w:tcPr>
            <w:tcW w:w="3060" w:type="dxa"/>
            <w:tcBorders>
              <w:bottom w:val="single" w:sz="4" w:space="0" w:color="auto"/>
            </w:tcBorders>
            <w:noWrap/>
          </w:tcPr>
          <w:p w:rsidR="0006195F" w:rsidRPr="00DC1E17" w:rsidRDefault="0006195F" w:rsidP="00FC781C">
            <w:pPr>
              <w:spacing w:before="100" w:beforeAutospacing="1" w:after="100" w:afterAutospacing="1"/>
              <w:rPr>
                <w:rFonts w:ascii="Arial" w:hAnsi="Arial" w:cs="Arial"/>
                <w:color w:val="000000"/>
              </w:rPr>
            </w:pPr>
          </w:p>
        </w:tc>
        <w:tc>
          <w:tcPr>
            <w:tcW w:w="3060" w:type="dxa"/>
            <w:gridSpan w:val="3"/>
            <w:tcBorders>
              <w:bottom w:val="single" w:sz="4" w:space="0" w:color="auto"/>
            </w:tcBorders>
            <w:noWrap/>
            <w:hideMark/>
          </w:tcPr>
          <w:p w:rsidR="0006195F" w:rsidRPr="00DC1E17" w:rsidRDefault="0006195F" w:rsidP="00384F88">
            <w:pPr>
              <w:spacing w:before="100" w:beforeAutospacing="1" w:after="100" w:afterAutospacing="1"/>
              <w:jc w:val="center"/>
              <w:rPr>
                <w:rFonts w:ascii="Arial" w:hAnsi="Arial" w:cs="Arial"/>
                <w:color w:val="000000"/>
              </w:rPr>
            </w:pPr>
            <w:r>
              <w:rPr>
                <w:rFonts w:ascii="Arial" w:hAnsi="Arial" w:cs="Arial"/>
                <w:color w:val="000000"/>
              </w:rPr>
              <w:t>1.2</w:t>
            </w:r>
            <w:r w:rsidR="009C6E74">
              <w:rPr>
                <w:rFonts w:ascii="Arial" w:hAnsi="Arial" w:cs="Arial"/>
                <w:color w:val="000000"/>
              </w:rPr>
              <w:t>4</w:t>
            </w:r>
          </w:p>
        </w:tc>
      </w:tr>
      <w:tr w:rsidR="00F96F24" w:rsidRPr="0061478D" w:rsidTr="00263619">
        <w:trPr>
          <w:trHeight w:val="89"/>
        </w:trPr>
        <w:tc>
          <w:tcPr>
            <w:tcW w:w="8666" w:type="dxa"/>
            <w:gridSpan w:val="5"/>
            <w:shd w:val="clear" w:color="auto" w:fill="BFBFBF" w:themeFill="background1" w:themeFillShade="BF"/>
            <w:noWrap/>
          </w:tcPr>
          <w:p w:rsidR="00F96F24" w:rsidRPr="0061478D" w:rsidRDefault="00F96F24" w:rsidP="00136521">
            <w:pPr>
              <w:spacing w:before="100" w:beforeAutospacing="1"/>
              <w:rPr>
                <w:rFonts w:ascii="Arial" w:hAnsi="Arial" w:cs="Arial"/>
                <w:b/>
                <w:color w:val="000000"/>
              </w:rPr>
            </w:pPr>
          </w:p>
        </w:tc>
      </w:tr>
      <w:tr w:rsidR="00F96F24" w:rsidRPr="00DC1E17" w:rsidTr="00263619">
        <w:trPr>
          <w:gridAfter w:val="1"/>
          <w:wAfter w:w="18" w:type="dxa"/>
          <w:trHeight w:val="300"/>
        </w:trPr>
        <w:tc>
          <w:tcPr>
            <w:tcW w:w="8126" w:type="dxa"/>
            <w:gridSpan w:val="3"/>
            <w:noWrap/>
            <w:hideMark/>
          </w:tcPr>
          <w:p w:rsidR="00F96F24" w:rsidRPr="00DC1E17" w:rsidRDefault="00136521" w:rsidP="00FC781C">
            <w:pPr>
              <w:spacing w:before="100" w:beforeAutospacing="1" w:after="100" w:afterAutospacing="1"/>
              <w:rPr>
                <w:rFonts w:ascii="Arial" w:hAnsi="Arial" w:cs="Arial"/>
                <w:color w:val="000000"/>
              </w:rPr>
            </w:pPr>
            <w:r w:rsidRPr="0061478D">
              <w:rPr>
                <w:rFonts w:ascii="Arial" w:hAnsi="Arial" w:cs="Arial"/>
                <w:b/>
                <w:color w:val="000000"/>
              </w:rPr>
              <w:t xml:space="preserve">Ratio, </w:t>
            </w:r>
            <w:r>
              <w:rPr>
                <w:rFonts w:ascii="Arial" w:hAnsi="Arial" w:cs="Arial"/>
                <w:b/>
                <w:color w:val="000000"/>
              </w:rPr>
              <w:t>number of adults in households without c</w:t>
            </w:r>
            <w:r w:rsidRPr="0061478D">
              <w:rPr>
                <w:rFonts w:ascii="Arial" w:hAnsi="Arial" w:cs="Arial"/>
                <w:b/>
                <w:color w:val="000000"/>
              </w:rPr>
              <w:t>hildren</w:t>
            </w:r>
            <w:r>
              <w:rPr>
                <w:rFonts w:ascii="Arial" w:hAnsi="Arial" w:cs="Arial"/>
                <w:b/>
                <w:color w:val="000000"/>
              </w:rPr>
              <w:t xml:space="preserve"> t</w:t>
            </w:r>
            <w:r w:rsidRPr="0061478D">
              <w:rPr>
                <w:rFonts w:ascii="Arial" w:hAnsi="Arial" w:cs="Arial"/>
                <w:b/>
                <w:color w:val="000000"/>
              </w:rPr>
              <w:t>o</w:t>
            </w:r>
            <w:r>
              <w:rPr>
                <w:rFonts w:ascii="Arial" w:hAnsi="Arial" w:cs="Arial"/>
                <w:b/>
                <w:color w:val="000000"/>
              </w:rPr>
              <w:t xml:space="preserve"> number of adults in households with c</w:t>
            </w:r>
            <w:r w:rsidRPr="0061478D">
              <w:rPr>
                <w:rFonts w:ascii="Arial" w:hAnsi="Arial" w:cs="Arial"/>
                <w:b/>
                <w:color w:val="000000"/>
              </w:rPr>
              <w:t>hildren</w:t>
            </w:r>
          </w:p>
        </w:tc>
        <w:tc>
          <w:tcPr>
            <w:tcW w:w="522" w:type="dxa"/>
            <w:noWrap/>
            <w:hideMark/>
          </w:tcPr>
          <w:p w:rsidR="00F96F24" w:rsidRPr="00DC1E17" w:rsidRDefault="00F96F24" w:rsidP="00FC781C">
            <w:pPr>
              <w:spacing w:before="100" w:beforeAutospacing="1" w:after="100" w:afterAutospacing="1"/>
              <w:rPr>
                <w:rFonts w:ascii="Arial" w:hAnsi="Arial" w:cs="Arial"/>
                <w:color w:val="000000"/>
              </w:rPr>
            </w:pPr>
            <w:r w:rsidRPr="00DC1E17">
              <w:rPr>
                <w:rFonts w:ascii="Arial" w:hAnsi="Arial" w:cs="Arial"/>
                <w:color w:val="000000"/>
              </w:rPr>
              <w:t>0.7</w:t>
            </w:r>
          </w:p>
        </w:tc>
      </w:tr>
    </w:tbl>
    <w:p w:rsidR="00A21406" w:rsidRDefault="003C66A6" w:rsidP="00116893">
      <w:pPr>
        <w:autoSpaceDE w:val="0"/>
        <w:autoSpaceDN w:val="0"/>
        <w:adjustRightInd w:val="0"/>
        <w:spacing w:after="0" w:line="240" w:lineRule="auto"/>
        <w:ind w:left="810"/>
        <w:rPr>
          <w:rFonts w:ascii="Arial" w:hAnsi="Arial" w:cs="Arial"/>
        </w:rPr>
      </w:pPr>
      <w:r>
        <w:rPr>
          <w:rFonts w:ascii="Arial" w:hAnsi="Arial" w:cs="Arial"/>
          <w:color w:val="000000"/>
        </w:rPr>
        <w:t>S</w:t>
      </w:r>
      <w:r w:rsidR="00E82713">
        <w:rPr>
          <w:rFonts w:ascii="Arial" w:hAnsi="Arial" w:cs="Arial"/>
          <w:color w:val="000000"/>
        </w:rPr>
        <w:t>ource</w:t>
      </w:r>
      <w:r>
        <w:rPr>
          <w:rFonts w:ascii="Arial" w:hAnsi="Arial" w:cs="Arial"/>
          <w:color w:val="000000"/>
        </w:rPr>
        <w:t>s: N</w:t>
      </w:r>
      <w:r w:rsidR="009801CB">
        <w:rPr>
          <w:rFonts w:ascii="Arial" w:hAnsi="Arial" w:cs="Arial"/>
          <w:color w:val="000000"/>
        </w:rPr>
        <w:t xml:space="preserve">umber of households </w:t>
      </w:r>
      <w:r w:rsidR="00B22C77">
        <w:rPr>
          <w:rFonts w:ascii="Arial" w:hAnsi="Arial" w:cs="Arial"/>
          <w:color w:val="000000"/>
        </w:rPr>
        <w:t xml:space="preserve">by type </w:t>
      </w:r>
      <w:r w:rsidR="009801CB">
        <w:rPr>
          <w:rFonts w:ascii="Arial" w:hAnsi="Arial" w:cs="Arial"/>
          <w:color w:val="000000"/>
        </w:rPr>
        <w:t>and number of adults per household type</w:t>
      </w:r>
      <w:r w:rsidR="00A21406" w:rsidRPr="00A21406">
        <w:rPr>
          <w:rFonts w:ascii="Arial" w:hAnsi="Arial" w:cs="Arial"/>
          <w:color w:val="000000"/>
        </w:rPr>
        <w:t xml:space="preserve">:  </w:t>
      </w:r>
      <w:r w:rsidR="00A21406" w:rsidRPr="00A21406">
        <w:rPr>
          <w:rFonts w:ascii="Arial" w:hAnsi="Arial" w:cs="Arial"/>
        </w:rPr>
        <w:t xml:space="preserve">Fortuny, </w:t>
      </w:r>
      <w:r w:rsidR="00896686">
        <w:rPr>
          <w:rFonts w:ascii="Arial" w:hAnsi="Arial" w:cs="Arial"/>
        </w:rPr>
        <w:t xml:space="preserve">Capps and </w:t>
      </w:r>
      <w:r w:rsidR="00A21406" w:rsidRPr="00A21406">
        <w:rPr>
          <w:rFonts w:ascii="Arial" w:hAnsi="Arial" w:cs="Arial"/>
        </w:rPr>
        <w:t>Passel, 2007, Table 11</w:t>
      </w:r>
      <w:r>
        <w:rPr>
          <w:rFonts w:ascii="Arial" w:hAnsi="Arial" w:cs="Arial"/>
        </w:rPr>
        <w:t>; o</w:t>
      </w:r>
      <w:r w:rsidR="009801CB">
        <w:rPr>
          <w:rFonts w:ascii="Arial" w:hAnsi="Arial" w:cs="Arial"/>
        </w:rPr>
        <w:t>ther data are the authors’ calculation</w:t>
      </w:r>
      <w:r>
        <w:rPr>
          <w:rFonts w:ascii="Arial" w:hAnsi="Arial" w:cs="Arial"/>
        </w:rPr>
        <w:t>s</w:t>
      </w:r>
      <w:r w:rsidR="009801CB">
        <w:rPr>
          <w:rFonts w:ascii="Arial" w:hAnsi="Arial" w:cs="Arial"/>
        </w:rPr>
        <w:t>.</w:t>
      </w:r>
    </w:p>
    <w:p w:rsidR="002E504D" w:rsidRPr="00A21406" w:rsidRDefault="002E504D" w:rsidP="00A21406">
      <w:pPr>
        <w:autoSpaceDE w:val="0"/>
        <w:autoSpaceDN w:val="0"/>
        <w:adjustRightInd w:val="0"/>
        <w:spacing w:after="0" w:line="240" w:lineRule="auto"/>
        <w:ind w:left="720"/>
        <w:rPr>
          <w:rFonts w:ascii="Arial" w:hAnsi="Arial" w:cs="Arial"/>
          <w:color w:val="000000"/>
        </w:rPr>
      </w:pPr>
    </w:p>
    <w:p w:rsidR="001E04FD" w:rsidRPr="001E04FD" w:rsidRDefault="001E04FD" w:rsidP="002E504D">
      <w:pPr>
        <w:spacing w:after="0" w:line="240" w:lineRule="auto"/>
        <w:rPr>
          <w:rFonts w:ascii="Arial" w:eastAsiaTheme="minorEastAsia" w:hAnsi="Arial" w:cs="Arial"/>
          <w:b/>
          <w:bCs/>
          <w:iCs/>
          <w:color w:val="000000" w:themeColor="text1"/>
          <w:kern w:val="24"/>
          <w:sz w:val="18"/>
        </w:rPr>
      </w:pPr>
      <w:r>
        <w:rPr>
          <w:rFonts w:ascii="Arial" w:eastAsiaTheme="minorEastAsia" w:hAnsi="Arial" w:cs="Arial"/>
          <w:color w:val="000000" w:themeColor="text1"/>
          <w:kern w:val="24"/>
        </w:rPr>
        <w:t>These assumptions allow the PRI denominator to be reduced by the estimated number of undocumented adults.</w:t>
      </w:r>
      <w:r w:rsidR="00105250" w:rsidRPr="00105250">
        <w:rPr>
          <w:noProof/>
        </w:rPr>
        <w:t xml:space="preserve"> </w:t>
      </w:r>
    </w:p>
    <w:p w:rsidR="002E504D" w:rsidRDefault="002E504D" w:rsidP="002E504D">
      <w:pPr>
        <w:spacing w:after="0" w:line="240" w:lineRule="auto"/>
        <w:rPr>
          <w:rFonts w:ascii="Arial" w:eastAsiaTheme="minorEastAsia" w:hAnsi="Arial" w:cs="Arial"/>
          <w:bCs/>
          <w:kern w:val="24"/>
        </w:rPr>
      </w:pPr>
    </w:p>
    <w:p w:rsidR="00554B48" w:rsidRDefault="00554B48" w:rsidP="002E504D">
      <w:pPr>
        <w:spacing w:after="0" w:line="240" w:lineRule="auto"/>
        <w:rPr>
          <w:rFonts w:ascii="Arial" w:eastAsiaTheme="minorEastAsia" w:hAnsi="Arial" w:cs="Arial"/>
          <w:bCs/>
          <w:kern w:val="24"/>
        </w:rPr>
      </w:pPr>
    </w:p>
    <w:p w:rsidR="00554B48" w:rsidRDefault="00554B48" w:rsidP="002E504D">
      <w:pPr>
        <w:spacing w:after="0" w:line="240" w:lineRule="auto"/>
        <w:rPr>
          <w:rFonts w:ascii="Arial" w:eastAsiaTheme="minorEastAsia" w:hAnsi="Arial" w:cs="Arial"/>
          <w:bCs/>
          <w:kern w:val="24"/>
        </w:rPr>
      </w:pPr>
      <w:r w:rsidRPr="00554B48">
        <w:rPr>
          <w:noProof/>
        </w:rPr>
        <mc:AlternateContent>
          <mc:Choice Requires="wps">
            <w:drawing>
              <wp:anchor distT="0" distB="0" distL="114300" distR="114300" simplePos="0" relativeHeight="251699200" behindDoc="0" locked="0" layoutInCell="1" allowOverlap="1" wp14:anchorId="6C33BEF1" wp14:editId="18311239">
                <wp:simplePos x="0" y="0"/>
                <wp:positionH relativeFrom="column">
                  <wp:posOffset>57150</wp:posOffset>
                </wp:positionH>
                <wp:positionV relativeFrom="paragraph">
                  <wp:posOffset>86995</wp:posOffset>
                </wp:positionV>
                <wp:extent cx="5934075" cy="946150"/>
                <wp:effectExtent l="0" t="0" r="28575" b="24130"/>
                <wp:wrapNone/>
                <wp:docPr id="4" name="TextBox 3"/>
                <wp:cNvGraphicFramePr/>
                <a:graphic xmlns:a="http://schemas.openxmlformats.org/drawingml/2006/main">
                  <a:graphicData uri="http://schemas.microsoft.com/office/word/2010/wordprocessingShape">
                    <wps:wsp>
                      <wps:cNvSpPr txBox="1"/>
                      <wps:spPr>
                        <a:xfrm>
                          <a:off x="0" y="0"/>
                          <a:ext cx="5934075" cy="946150"/>
                        </a:xfrm>
                        <a:prstGeom prst="rect">
                          <a:avLst/>
                        </a:prstGeom>
                        <a:ln>
                          <a:solidFill>
                            <a:schemeClr val="bg1">
                              <a:lumMod val="65000"/>
                            </a:schemeClr>
                          </a:solidFill>
                        </a:ln>
                      </wps:spPr>
                      <wps:style>
                        <a:lnRef idx="2">
                          <a:schemeClr val="accent1"/>
                        </a:lnRef>
                        <a:fillRef idx="1">
                          <a:schemeClr val="lt1"/>
                        </a:fillRef>
                        <a:effectRef idx="0">
                          <a:schemeClr val="accent1"/>
                        </a:effectRef>
                        <a:fontRef idx="minor">
                          <a:schemeClr val="dk1"/>
                        </a:fontRef>
                      </wps:style>
                      <wps:txbx>
                        <w:txbxContent>
                          <w:p w:rsidR="00554B48" w:rsidRPr="00554B48" w:rsidRDefault="00554B48" w:rsidP="00554B48">
                            <w:pPr>
                              <w:pStyle w:val="NormalWeb"/>
                              <w:spacing w:before="0" w:beforeAutospacing="0" w:after="0" w:afterAutospacing="0"/>
                              <w:rPr>
                                <w:sz w:val="28"/>
                                <w:szCs w:val="28"/>
                              </w:rPr>
                            </w:pPr>
                            <w:r w:rsidRPr="00554B48">
                              <w:rPr>
                                <w:rFonts w:asciiTheme="minorHAnsi" w:hAnsi="Calibri" w:cstheme="minorBidi"/>
                                <w:b/>
                                <w:bCs/>
                                <w:color w:val="FFFFFF" w:themeColor="background1"/>
                                <w:kern w:val="24"/>
                                <w:sz w:val="28"/>
                                <w:szCs w:val="28"/>
                              </w:rPr>
                              <w:t xml:space="preserve"> </w:t>
                            </w:r>
                            <w:r w:rsidRPr="00554B48">
                              <w:rPr>
                                <w:rFonts w:asciiTheme="minorHAnsi" w:hAnsi="Calibri" w:cstheme="minorBidi"/>
                                <w:b/>
                                <w:bCs/>
                                <w:color w:val="000000" w:themeColor="text1"/>
                                <w:kern w:val="24"/>
                                <w:sz w:val="28"/>
                                <w:szCs w:val="28"/>
                              </w:rPr>
                              <w:t>PRI</w:t>
                            </w:r>
                            <w:r w:rsidRPr="00554B48">
                              <w:rPr>
                                <w:rFonts w:asciiTheme="minorHAnsi" w:hAnsi="Calibri" w:cstheme="minorBidi"/>
                                <w:color w:val="000000" w:themeColor="text1"/>
                                <w:kern w:val="24"/>
                                <w:sz w:val="28"/>
                                <w:szCs w:val="28"/>
                              </w:rPr>
                              <w:t xml:space="preserve"> =  </w:t>
                            </w:r>
                            <m:oMath>
                              <m:f>
                                <m:fPr>
                                  <m:ctrlPr>
                                    <w:rPr>
                                      <w:rFonts w:ascii="Cambria Math" w:hAnsi="Cambria Math" w:cstheme="minorBidi"/>
                                      <w:i/>
                                      <w:iCs/>
                                      <w:color w:val="000000" w:themeColor="text1"/>
                                      <w:kern w:val="24"/>
                                      <w:sz w:val="28"/>
                                      <w:szCs w:val="28"/>
                                    </w:rPr>
                                  </m:ctrlPr>
                                </m:fPr>
                                <m:num>
                                  <m:r>
                                    <w:rPr>
                                      <w:rFonts w:ascii="Cambria Math" w:hAnsi="Cambria Math" w:cstheme="minorBidi"/>
                                      <w:color w:val="000000" w:themeColor="text1"/>
                                      <w:kern w:val="24"/>
                                      <w:sz w:val="28"/>
                                      <w:szCs w:val="28"/>
                                    </w:rPr>
                                    <m:t>CalFresh Recipients -Disaster CalFresh Program Participants</m:t>
                                  </m:r>
                                </m:num>
                                <m:den>
                                  <m:d>
                                    <m:dPr>
                                      <m:ctrlPr>
                                        <w:rPr>
                                          <w:rFonts w:ascii="Cambria Math" w:hAnsi="Cambria Math" w:cstheme="minorBidi"/>
                                          <w:i/>
                                          <w:iCs/>
                                          <w:color w:val="000000" w:themeColor="text1"/>
                                          <w:kern w:val="24"/>
                                          <w:sz w:val="28"/>
                                          <w:szCs w:val="28"/>
                                        </w:rPr>
                                      </m:ctrlPr>
                                    </m:dPr>
                                    <m:e>
                                      <m:r>
                                        <w:rPr>
                                          <w:rFonts w:ascii="Cambria Math" w:hAnsi="Cambria Math" w:cstheme="minorBidi"/>
                                          <w:color w:val="000000" w:themeColor="text1"/>
                                          <w:kern w:val="24"/>
                                          <w:sz w:val="28"/>
                                          <w:szCs w:val="28"/>
                                        </w:rPr>
                                        <m:t>pop &lt; 130% FPL</m:t>
                                      </m:r>
                                    </m:e>
                                  </m:d>
                                  <m:r>
                                    <w:rPr>
                                      <w:rFonts w:ascii="Cambria Math" w:hAnsi="Cambria Math" w:cstheme="minorBidi"/>
                                      <w:color w:val="000000" w:themeColor="text1"/>
                                      <w:kern w:val="24"/>
                                      <w:sz w:val="28"/>
                                      <w:szCs w:val="28"/>
                                    </w:rPr>
                                    <m:t>-</m:t>
                                  </m:r>
                                  <m:d>
                                    <m:dPr>
                                      <m:ctrlPr>
                                        <w:rPr>
                                          <w:rFonts w:ascii="Cambria Math" w:hAnsi="Cambria Math" w:cstheme="minorBidi"/>
                                          <w:i/>
                                          <w:iCs/>
                                          <w:color w:val="000000" w:themeColor="text1"/>
                                          <w:kern w:val="24"/>
                                          <w:sz w:val="28"/>
                                          <w:szCs w:val="28"/>
                                        </w:rPr>
                                      </m:ctrlPr>
                                    </m:dPr>
                                    <m:e>
                                      <m:r>
                                        <w:rPr>
                                          <w:rFonts w:ascii="Cambria Math" w:hAnsi="Cambria Math" w:cstheme="minorBidi"/>
                                          <w:color w:val="000000" w:themeColor="text1"/>
                                          <w:kern w:val="24"/>
                                          <w:sz w:val="28"/>
                                          <w:szCs w:val="28"/>
                                        </w:rPr>
                                        <m:t>SSI * p</m:t>
                                      </m:r>
                                    </m:e>
                                  </m:d>
                                  <m:r>
                                    <w:rPr>
                                      <w:rFonts w:ascii="Cambria Math" w:hAnsi="Cambria Math" w:cstheme="minorBidi"/>
                                      <w:color w:val="000000" w:themeColor="text1"/>
                                      <w:kern w:val="24"/>
                                      <w:sz w:val="28"/>
                                      <w:szCs w:val="28"/>
                                    </w:rPr>
                                    <m:t>-</m:t>
                                  </m:r>
                                  <m:d>
                                    <m:dPr>
                                      <m:ctrlPr>
                                        <w:rPr>
                                          <w:rFonts w:ascii="Cambria Math" w:hAnsi="Cambria Math" w:cstheme="minorBidi"/>
                                          <w:i/>
                                          <w:iCs/>
                                          <w:color w:val="000000" w:themeColor="text1"/>
                                          <w:kern w:val="24"/>
                                          <w:sz w:val="28"/>
                                          <w:szCs w:val="28"/>
                                        </w:rPr>
                                      </m:ctrlPr>
                                    </m:dPr>
                                    <m:e>
                                      <m:d>
                                        <m:dPr>
                                          <m:ctrlPr>
                                            <w:rPr>
                                              <w:rFonts w:ascii="Cambria Math" w:hAnsi="Cambria Math" w:cstheme="minorBidi"/>
                                              <w:i/>
                                              <w:iCs/>
                                              <w:color w:val="000000" w:themeColor="text1"/>
                                              <w:kern w:val="24"/>
                                              <w:sz w:val="28"/>
                                              <w:szCs w:val="28"/>
                                            </w:rPr>
                                          </m:ctrlPr>
                                        </m:dPr>
                                        <m:e>
                                          <m:r>
                                            <w:rPr>
                                              <w:rFonts w:ascii="Cambria Math" w:hAnsi="Cambria Math" w:cstheme="minorBidi"/>
                                              <w:color w:val="000000" w:themeColor="text1"/>
                                              <w:kern w:val="24"/>
                                              <w:sz w:val="28"/>
                                              <w:szCs w:val="28"/>
                                            </w:rPr>
                                            <m:t>0.94 </m:t>
                                          </m:r>
                                          <m:r>
                                            <m:rPr>
                                              <m:sty m:val="p"/>
                                            </m:rPr>
                                            <w:rPr>
                                              <w:rFonts w:ascii="Cambria Math" w:hAnsi="Cambria Math" w:cstheme="minorBidi"/>
                                              <w:color w:val="000000" w:themeColor="text1"/>
                                              <w:kern w:val="24"/>
                                              <w:sz w:val="28"/>
                                              <w:szCs w:val="28"/>
                                            </w:rPr>
                                            <m:t>child-only households</m:t>
                                          </m:r>
                                        </m:e>
                                      </m:d>
                                      <m:r>
                                        <w:rPr>
                                          <w:rFonts w:ascii="Cambria Math" w:hAnsi="Cambria Math" w:cstheme="minorBidi"/>
                                          <w:color w:val="000000" w:themeColor="text1"/>
                                          <w:kern w:val="24"/>
                                          <w:sz w:val="28"/>
                                          <w:szCs w:val="28"/>
                                        </w:rPr>
                                        <m:t> * 1.77 * (1+(</m:t>
                                      </m:r>
                                      <m:f>
                                        <m:fPr>
                                          <m:ctrlPr>
                                            <w:rPr>
                                              <w:rFonts w:ascii="Cambria Math" w:hAnsi="Cambria Math" w:cstheme="minorBidi"/>
                                              <w:i/>
                                              <w:iCs/>
                                              <w:color w:val="000000" w:themeColor="text1"/>
                                              <w:kern w:val="24"/>
                                              <w:sz w:val="28"/>
                                              <w:szCs w:val="28"/>
                                            </w:rPr>
                                          </m:ctrlPr>
                                        </m:fPr>
                                        <m:num>
                                          <m:r>
                                            <w:rPr>
                                              <w:rFonts w:ascii="Cambria Math" w:hAnsi="Cambria Math" w:cstheme="minorBidi"/>
                                              <w:color w:val="000000" w:themeColor="text1"/>
                                              <w:kern w:val="24"/>
                                              <w:sz w:val="28"/>
                                              <w:szCs w:val="28"/>
                                            </w:rPr>
                                            <m:t>124</m:t>
                                          </m:r>
                                        </m:num>
                                        <m:den>
                                          <m:r>
                                            <w:rPr>
                                              <w:rFonts w:ascii="Cambria Math" w:hAnsi="Cambria Math" w:cstheme="minorBidi"/>
                                              <w:color w:val="000000" w:themeColor="text1"/>
                                              <w:kern w:val="24"/>
                                              <w:sz w:val="28"/>
                                              <w:szCs w:val="28"/>
                                            </w:rPr>
                                            <m:t>177</m:t>
                                          </m:r>
                                        </m:den>
                                      </m:f>
                                      <m:r>
                                        <w:rPr>
                                          <w:rFonts w:ascii="Cambria Math" w:hAnsi="Cambria Math" w:cstheme="minorBidi"/>
                                          <w:color w:val="000000" w:themeColor="text1"/>
                                          <w:kern w:val="24"/>
                                          <w:sz w:val="28"/>
                                          <w:szCs w:val="28"/>
                                        </w:rPr>
                                        <m:t>))</m:t>
                                      </m:r>
                                    </m:e>
                                  </m:d>
                                </m:den>
                              </m:f>
                            </m:oMath>
                          </w:p>
                        </w:txbxContent>
                      </wps:txbx>
                      <wps:bodyPr wrap="square" rtlCol="0">
                        <a:spAutoFit/>
                      </wps:bodyPr>
                    </wps:wsp>
                  </a:graphicData>
                </a:graphic>
                <wp14:sizeRelH relativeFrom="margin">
                  <wp14:pctWidth>0</wp14:pctWidth>
                </wp14:sizeRelH>
              </wp:anchor>
            </w:drawing>
          </mc:Choice>
          <mc:Fallback>
            <w:pict>
              <v:shape w14:anchorId="6C33BEF1" id="TextBox 3" o:spid="_x0000_s1027" type="#_x0000_t202" style="position:absolute;margin-left:4.5pt;margin-top:6.85pt;width:467.25pt;height:74.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" fillcolor="white [3201]" strokecolor="#a5a5a5 [2092]" strokeweight="2pt">
                <v:textbox style="mso-fit-shape-to-text:t">
                  <w:txbxContent>
                    <w:p w:rsidR="00554B48" w:rsidRPr="00554B48" w:rsidRDefault="00554B48" w:rsidP="00554B48">
                      <w:pPr>
                        <w:pStyle w:val="NormalWeb"/>
                        <w:spacing w:before="0" w:beforeAutospacing="0" w:after="0" w:afterAutospacing="0"/>
                        <w:rPr>
                          <w:sz w:val="28"/>
                          <w:szCs w:val="28"/>
                        </w:rPr>
                      </w:pPr>
                      <w:r w:rsidRPr="00554B48">
                        <w:rPr>
                          <w:rFonts w:asciiTheme="minorHAnsi" w:hAnsi="Calibri" w:cstheme="minorBidi"/>
                          <w:b/>
                          <w:bCs/>
                          <w:color w:val="FFFFFF" w:themeColor="background1"/>
                          <w:kern w:val="24"/>
                          <w:sz w:val="28"/>
                          <w:szCs w:val="28"/>
                        </w:rPr>
                        <w:t xml:space="preserve"> </w:t>
                      </w:r>
                      <w:r w:rsidRPr="00554B48">
                        <w:rPr>
                          <w:rFonts w:asciiTheme="minorHAnsi" w:hAnsi="Calibri" w:cstheme="minorBidi"/>
                          <w:b/>
                          <w:bCs/>
                          <w:color w:val="000000" w:themeColor="text1"/>
                          <w:kern w:val="24"/>
                          <w:sz w:val="28"/>
                          <w:szCs w:val="28"/>
                        </w:rPr>
                        <w:t>PRI</w:t>
                      </w:r>
                      <w:r w:rsidRPr="00554B48">
                        <w:rPr>
                          <w:rFonts w:asciiTheme="minorHAnsi" w:hAnsi="Calibri" w:cstheme="minorBidi"/>
                          <w:color w:val="000000" w:themeColor="text1"/>
                          <w:kern w:val="24"/>
                          <w:sz w:val="28"/>
                          <w:szCs w:val="28"/>
                        </w:rPr>
                        <w:t xml:space="preserve"> =  </w:t>
                      </w:r>
                      <m:oMath>
                        <m:f>
                          <m:fPr>
                            <m:ctrlPr>
                              <w:rPr>
                                <w:rFonts w:ascii="Cambria Math" w:hAnsi="Cambria Math" w:cstheme="minorBidi"/>
                                <w:i/>
                                <w:iCs/>
                                <w:color w:val="000000" w:themeColor="text1"/>
                                <w:kern w:val="24"/>
                                <w:sz w:val="28"/>
                                <w:szCs w:val="28"/>
                              </w:rPr>
                            </m:ctrlPr>
                          </m:fPr>
                          <m:num>
                            <m:r>
                              <w:rPr>
                                <w:rFonts w:ascii="Cambria Math" w:hAnsi="Cambria Math" w:cstheme="minorBidi"/>
                                <w:color w:val="000000" w:themeColor="text1"/>
                                <w:kern w:val="24"/>
                                <w:sz w:val="28"/>
                                <w:szCs w:val="28"/>
                              </w:rPr>
                              <m:t>CalFresh Recipients -Disaster CalFresh Program Participants</m:t>
                            </m:r>
                          </m:num>
                          <m:den>
                            <m:d>
                              <m:dPr>
                                <m:ctrlPr>
                                  <w:rPr>
                                    <w:rFonts w:ascii="Cambria Math" w:hAnsi="Cambria Math" w:cstheme="minorBidi"/>
                                    <w:i/>
                                    <w:iCs/>
                                    <w:color w:val="000000" w:themeColor="text1"/>
                                    <w:kern w:val="24"/>
                                    <w:sz w:val="28"/>
                                    <w:szCs w:val="28"/>
                                  </w:rPr>
                                </m:ctrlPr>
                              </m:dPr>
                              <m:e>
                                <m:r>
                                  <w:rPr>
                                    <w:rFonts w:ascii="Cambria Math" w:hAnsi="Cambria Math" w:cstheme="minorBidi"/>
                                    <w:color w:val="000000" w:themeColor="text1"/>
                                    <w:kern w:val="24"/>
                                    <w:sz w:val="28"/>
                                    <w:szCs w:val="28"/>
                                  </w:rPr>
                                  <m:t>pop &lt; 130% FPL</m:t>
                                </m:r>
                              </m:e>
                            </m:d>
                            <m:r>
                              <w:rPr>
                                <w:rFonts w:ascii="Cambria Math" w:hAnsi="Cambria Math" w:cstheme="minorBidi"/>
                                <w:color w:val="000000" w:themeColor="text1"/>
                                <w:kern w:val="24"/>
                                <w:sz w:val="28"/>
                                <w:szCs w:val="28"/>
                              </w:rPr>
                              <m:t>-</m:t>
                            </m:r>
                            <m:d>
                              <m:dPr>
                                <m:ctrlPr>
                                  <w:rPr>
                                    <w:rFonts w:ascii="Cambria Math" w:hAnsi="Cambria Math" w:cstheme="minorBidi"/>
                                    <w:i/>
                                    <w:iCs/>
                                    <w:color w:val="000000" w:themeColor="text1"/>
                                    <w:kern w:val="24"/>
                                    <w:sz w:val="28"/>
                                    <w:szCs w:val="28"/>
                                  </w:rPr>
                                </m:ctrlPr>
                              </m:dPr>
                              <m:e>
                                <m:r>
                                  <w:rPr>
                                    <w:rFonts w:ascii="Cambria Math" w:hAnsi="Cambria Math" w:cstheme="minorBidi"/>
                                    <w:color w:val="000000" w:themeColor="text1"/>
                                    <w:kern w:val="24"/>
                                    <w:sz w:val="28"/>
                                    <w:szCs w:val="28"/>
                                  </w:rPr>
                                  <m:t>SSI * p</m:t>
                                </m:r>
                              </m:e>
                            </m:d>
                            <m:r>
                              <w:rPr>
                                <w:rFonts w:ascii="Cambria Math" w:hAnsi="Cambria Math" w:cstheme="minorBidi"/>
                                <w:color w:val="000000" w:themeColor="text1"/>
                                <w:kern w:val="24"/>
                                <w:sz w:val="28"/>
                                <w:szCs w:val="28"/>
                              </w:rPr>
                              <m:t>-</m:t>
                            </m:r>
                            <m:d>
                              <m:dPr>
                                <m:ctrlPr>
                                  <w:rPr>
                                    <w:rFonts w:ascii="Cambria Math" w:hAnsi="Cambria Math" w:cstheme="minorBidi"/>
                                    <w:i/>
                                    <w:iCs/>
                                    <w:color w:val="000000" w:themeColor="text1"/>
                                    <w:kern w:val="24"/>
                                    <w:sz w:val="28"/>
                                    <w:szCs w:val="28"/>
                                  </w:rPr>
                                </m:ctrlPr>
                              </m:dPr>
                              <m:e>
                                <m:d>
                                  <m:dPr>
                                    <m:ctrlPr>
                                      <w:rPr>
                                        <w:rFonts w:ascii="Cambria Math" w:hAnsi="Cambria Math" w:cstheme="minorBidi"/>
                                        <w:i/>
                                        <w:iCs/>
                                        <w:color w:val="000000" w:themeColor="text1"/>
                                        <w:kern w:val="24"/>
                                        <w:sz w:val="28"/>
                                        <w:szCs w:val="28"/>
                                      </w:rPr>
                                    </m:ctrlPr>
                                  </m:dPr>
                                  <m:e>
                                    <m:r>
                                      <w:rPr>
                                        <w:rFonts w:ascii="Cambria Math" w:hAnsi="Cambria Math" w:cstheme="minorBidi"/>
                                        <w:color w:val="000000" w:themeColor="text1"/>
                                        <w:kern w:val="24"/>
                                        <w:sz w:val="28"/>
                                        <w:szCs w:val="28"/>
                                      </w:rPr>
                                      <m:t>0.94 </m:t>
                                    </m:r>
                                    <m:r>
                                      <m:rPr>
                                        <m:sty m:val="p"/>
                                      </m:rPr>
                                      <w:rPr>
                                        <w:rFonts w:ascii="Cambria Math" w:hAnsi="Cambria Math" w:cstheme="minorBidi"/>
                                        <w:color w:val="000000" w:themeColor="text1"/>
                                        <w:kern w:val="24"/>
                                        <w:sz w:val="28"/>
                                        <w:szCs w:val="28"/>
                                      </w:rPr>
                                      <m:t>child-only households</m:t>
                                    </m:r>
                                  </m:e>
                                </m:d>
                                <m:r>
                                  <w:rPr>
                                    <w:rFonts w:ascii="Cambria Math" w:hAnsi="Cambria Math" w:cstheme="minorBidi"/>
                                    <w:color w:val="000000" w:themeColor="text1"/>
                                    <w:kern w:val="24"/>
                                    <w:sz w:val="28"/>
                                    <w:szCs w:val="28"/>
                                  </w:rPr>
                                  <m:t> * 1.77 * (1+(</m:t>
                                </m:r>
                                <m:f>
                                  <m:fPr>
                                    <m:ctrlPr>
                                      <w:rPr>
                                        <w:rFonts w:ascii="Cambria Math" w:hAnsi="Cambria Math" w:cstheme="minorBidi"/>
                                        <w:i/>
                                        <w:iCs/>
                                        <w:color w:val="000000" w:themeColor="text1"/>
                                        <w:kern w:val="24"/>
                                        <w:sz w:val="28"/>
                                        <w:szCs w:val="28"/>
                                      </w:rPr>
                                    </m:ctrlPr>
                                  </m:fPr>
                                  <m:num>
                                    <m:r>
                                      <w:rPr>
                                        <w:rFonts w:ascii="Cambria Math" w:hAnsi="Cambria Math" w:cstheme="minorBidi"/>
                                        <w:color w:val="000000" w:themeColor="text1"/>
                                        <w:kern w:val="24"/>
                                        <w:sz w:val="28"/>
                                        <w:szCs w:val="28"/>
                                      </w:rPr>
                                      <m:t>124</m:t>
                                    </m:r>
                                  </m:num>
                                  <m:den>
                                    <m:r>
                                      <w:rPr>
                                        <w:rFonts w:ascii="Cambria Math" w:hAnsi="Cambria Math" w:cstheme="minorBidi"/>
                                        <w:color w:val="000000" w:themeColor="text1"/>
                                        <w:kern w:val="24"/>
                                        <w:sz w:val="28"/>
                                        <w:szCs w:val="28"/>
                                      </w:rPr>
                                      <m:t>177</m:t>
                                    </m:r>
                                  </m:den>
                                </m:f>
                                <m:r>
                                  <w:rPr>
                                    <w:rFonts w:ascii="Cambria Math" w:hAnsi="Cambria Math" w:cstheme="minorBidi"/>
                                    <w:color w:val="000000" w:themeColor="text1"/>
                                    <w:kern w:val="24"/>
                                    <w:sz w:val="28"/>
                                    <w:szCs w:val="28"/>
                                  </w:rPr>
                                  <m:t>))</m:t>
                                </m:r>
                              </m:e>
                            </m:d>
                          </m:den>
                        </m:f>
                      </m:oMath>
                    </w:p>
                  </w:txbxContent>
                </v:textbox>
              </v:shape>
            </w:pict>
          </mc:Fallback>
        </mc:AlternateContent>
      </w:r>
    </w:p>
    <w:p w:rsidR="00554B48" w:rsidRDefault="00554B48" w:rsidP="002E504D">
      <w:pPr>
        <w:spacing w:after="0" w:line="240" w:lineRule="auto"/>
        <w:rPr>
          <w:rFonts w:ascii="Arial" w:eastAsiaTheme="minorEastAsia" w:hAnsi="Arial" w:cs="Arial"/>
          <w:bCs/>
          <w:kern w:val="24"/>
        </w:rPr>
      </w:pPr>
    </w:p>
    <w:p w:rsidR="00554B48" w:rsidRDefault="00554B48" w:rsidP="002E504D">
      <w:pPr>
        <w:spacing w:after="0" w:line="240" w:lineRule="auto"/>
        <w:rPr>
          <w:rFonts w:ascii="Arial" w:eastAsiaTheme="minorEastAsia" w:hAnsi="Arial" w:cs="Arial"/>
          <w:bCs/>
          <w:kern w:val="24"/>
        </w:rPr>
      </w:pPr>
    </w:p>
    <w:p w:rsidR="00554B48" w:rsidRDefault="00554B48" w:rsidP="002E504D">
      <w:pPr>
        <w:spacing w:after="0" w:line="240" w:lineRule="auto"/>
        <w:rPr>
          <w:rFonts w:ascii="Arial" w:eastAsiaTheme="minorEastAsia" w:hAnsi="Arial" w:cs="Arial"/>
          <w:bCs/>
          <w:kern w:val="24"/>
        </w:rPr>
      </w:pPr>
    </w:p>
    <w:p w:rsidR="00554B48" w:rsidRDefault="00554B48" w:rsidP="002E504D">
      <w:pPr>
        <w:spacing w:after="0" w:line="240" w:lineRule="auto"/>
        <w:rPr>
          <w:rFonts w:ascii="Arial" w:eastAsiaTheme="minorEastAsia" w:hAnsi="Arial" w:cs="Arial"/>
          <w:bCs/>
          <w:kern w:val="24"/>
        </w:rPr>
      </w:pPr>
    </w:p>
    <w:p w:rsidR="00554B48" w:rsidRPr="00A05E9D" w:rsidRDefault="00852785" w:rsidP="002E504D">
      <w:pPr>
        <w:spacing w:after="0" w:line="240" w:lineRule="auto"/>
        <w:rPr>
          <w:rFonts w:ascii="Arial" w:eastAsiaTheme="minorEastAsia" w:hAnsi="Arial" w:cs="Arial"/>
          <w:bCs/>
          <w:kern w:val="24"/>
        </w:rPr>
      </w:pPr>
      <w:r w:rsidRPr="00554B48">
        <w:rPr>
          <w:noProof/>
        </w:rPr>
        <mc:AlternateContent>
          <mc:Choice Requires="wps">
            <w:drawing>
              <wp:anchor distT="0" distB="0" distL="114300" distR="114300" simplePos="0" relativeHeight="251701248" behindDoc="0" locked="0" layoutInCell="1" allowOverlap="1" wp14:anchorId="177F3169" wp14:editId="059737FB">
                <wp:simplePos x="0" y="0"/>
                <wp:positionH relativeFrom="column">
                  <wp:posOffset>390525</wp:posOffset>
                </wp:positionH>
                <wp:positionV relativeFrom="paragraph">
                  <wp:posOffset>26670</wp:posOffset>
                </wp:positionV>
                <wp:extent cx="5314950" cy="522605"/>
                <wp:effectExtent l="0" t="0" r="0" b="0"/>
                <wp:wrapNone/>
                <wp:docPr id="5" name="Rectangle 4"/>
                <wp:cNvGraphicFramePr/>
                <a:graphic xmlns:a="http://schemas.openxmlformats.org/drawingml/2006/main">
                  <a:graphicData uri="http://schemas.microsoft.com/office/word/2010/wordprocessingShape">
                    <wps:wsp>
                      <wps:cNvSpPr/>
                      <wps:spPr>
                        <a:xfrm>
                          <a:off x="0" y="0"/>
                          <a:ext cx="5314950" cy="522605"/>
                        </a:xfrm>
                        <a:prstGeom prst="rect">
                          <a:avLst/>
                        </a:prstGeom>
                      </wps:spPr>
                      <wps:txbx>
                        <w:txbxContent>
                          <w:p w:rsidR="00554B48" w:rsidRDefault="00554B48" w:rsidP="00554B48">
                            <w:pPr>
                              <w:pStyle w:val="NormalWeb"/>
                              <w:spacing w:before="0" w:beforeAutospacing="0" w:after="0" w:afterAutospacing="0"/>
                            </w:pPr>
                            <w:r>
                              <w:rPr>
                                <w:rFonts w:asciiTheme="minorHAnsi" w:hAnsi="Calibri" w:cstheme="minorBidi"/>
                                <w:color w:val="000000" w:themeColor="text1"/>
                                <w:kern w:val="24"/>
                                <w:sz w:val="28"/>
                                <w:szCs w:val="28"/>
                              </w:rPr>
                              <w:t>*</w:t>
                            </w:r>
                            <w:r>
                              <w:rPr>
                                <w:rFonts w:ascii="Cambria Math" w:hAnsi="Cambria Math" w:cs="Cambria Math"/>
                                <w:color w:val="000000" w:themeColor="text1"/>
                                <w:kern w:val="24"/>
                                <w:sz w:val="28"/>
                                <w:szCs w:val="28"/>
                              </w:rPr>
                              <w:t>𝑝</w:t>
                            </w:r>
                            <w:r>
                              <w:rPr>
                                <w:rFonts w:asciiTheme="minorHAnsi" w:hAnsi="Calibri" w:cstheme="minorBidi"/>
                                <w:color w:val="000000" w:themeColor="text1"/>
                                <w:kern w:val="24"/>
                                <w:sz w:val="28"/>
                                <w:szCs w:val="28"/>
                              </w:rPr>
                              <w:t>: County proportion of SSI recipients at or below 130% FPL</w:t>
                            </w:r>
                          </w:p>
                          <w:p w:rsidR="00554B48" w:rsidRDefault="00554B48" w:rsidP="00554B48">
                            <w:pPr>
                              <w:pStyle w:val="NormalWeb"/>
                              <w:spacing w:before="0" w:beforeAutospacing="0" w:after="0" w:afterAutospacing="0"/>
                            </w:pPr>
                            <w:r>
                              <w:rPr>
                                <w:rFonts w:asciiTheme="minorHAnsi" w:hAnsi="Calibri" w:cstheme="minorBidi"/>
                                <w:color w:val="000000" w:themeColor="text1"/>
                                <w:kern w:val="24"/>
                                <w:sz w:val="28"/>
                                <w:szCs w:val="28"/>
                              </w:rPr>
                              <w:t xml:space="preserve">      </w:t>
                            </w:r>
                          </w:p>
                        </w:txbxContent>
                      </wps:txbx>
                      <wps:bodyPr wrap="square">
                        <a:spAutoFit/>
                      </wps:bodyPr>
                    </wps:wsp>
                  </a:graphicData>
                </a:graphic>
              </wp:anchor>
            </w:drawing>
          </mc:Choice>
          <mc:Fallback>
            <w:pict>
              <v:rect w14:anchorId="177F3169" id="Rectangle 4" o:spid="_x0000_s1028" style="position:absolute;margin-left:30.75pt;margin-top:2.1pt;width:418.5pt;height:41.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" filled="f" stroked="f">
                <v:textbox style="mso-fit-shape-to-text:t">
                  <w:txbxContent>
                    <w:p w:rsidR="00554B48" w:rsidRDefault="00554B48" w:rsidP="00554B48">
                      <w:pPr>
                        <w:pStyle w:val="NormalWeb"/>
                        <w:spacing w:before="0" w:beforeAutospacing="0" w:after="0" w:afterAutospacing="0"/>
                      </w:pPr>
                      <w:r>
                        <w:rPr>
                          <w:rFonts w:asciiTheme="minorHAnsi" w:hAnsi="Calibri" w:cstheme="minorBidi"/>
                          <w:color w:val="000000" w:themeColor="text1"/>
                          <w:kern w:val="24"/>
                          <w:sz w:val="28"/>
                          <w:szCs w:val="28"/>
                        </w:rPr>
                        <w:t>*</w:t>
                      </w:r>
                      <w:r>
                        <w:rPr>
                          <w:rFonts w:ascii="Cambria Math" w:hAnsi="Cambria Math" w:cs="Cambria Math"/>
                          <w:color w:val="000000" w:themeColor="text1"/>
                          <w:kern w:val="24"/>
                          <w:sz w:val="28"/>
                          <w:szCs w:val="28"/>
                        </w:rPr>
                        <w:t>𝑝</w:t>
                      </w:r>
                      <w:r>
                        <w:rPr>
                          <w:rFonts w:asciiTheme="minorHAnsi" w:hAnsi="Calibri" w:cstheme="minorBidi"/>
                          <w:color w:val="000000" w:themeColor="text1"/>
                          <w:kern w:val="24"/>
                          <w:sz w:val="28"/>
                          <w:szCs w:val="28"/>
                        </w:rPr>
                        <w:t>: County proportion of SSI recipients at or below 130% FPL</w:t>
                      </w:r>
                    </w:p>
                    <w:p w:rsidR="00554B48" w:rsidRDefault="00554B48" w:rsidP="00554B48">
                      <w:pPr>
                        <w:pStyle w:val="NormalWeb"/>
                        <w:spacing w:before="0" w:beforeAutospacing="0" w:after="0" w:afterAutospacing="0"/>
                      </w:pPr>
                      <w:r>
                        <w:rPr>
                          <w:rFonts w:asciiTheme="minorHAnsi" w:hAnsi="Calibri" w:cstheme="minorBidi"/>
                          <w:color w:val="000000" w:themeColor="text1"/>
                          <w:kern w:val="24"/>
                          <w:sz w:val="28"/>
                          <w:szCs w:val="28"/>
                        </w:rPr>
                        <w:t xml:space="preserve">      </w:t>
                      </w:r>
                    </w:p>
                  </w:txbxContent>
                </v:textbox>
              </v:rect>
            </w:pict>
          </mc:Fallback>
        </mc:AlternateContent>
      </w:r>
    </w:p>
    <w:p w:rsidR="002E504D" w:rsidRPr="00554B48" w:rsidRDefault="00554B48" w:rsidP="002E504D">
      <w:pPr>
        <w:spacing w:after="0" w:line="240" w:lineRule="auto"/>
        <w:rPr>
          <w:rFonts w:ascii="Arial" w:eastAsiaTheme="minorEastAsia" w:hAnsi="Arial" w:cs="Arial"/>
          <w:b/>
          <w:color w:val="000000" w:themeColor="text1"/>
          <w:kern w:val="24"/>
          <w:sz w:val="18"/>
        </w:rPr>
      </w:pPr>
      <m:oMathPara>
        <m:oMath>
          <m:r>
            <m:rPr>
              <m:sty m:val="bi"/>
            </m:rPr>
            <w:rPr>
              <w:rFonts w:ascii="Cambria Math" w:hAnsi="Cambria Math" w:cs="Arial"/>
              <w:color w:val="000000" w:themeColor="text1"/>
              <w:kern w:val="24"/>
              <w:sz w:val="18"/>
            </w:rPr>
            <m:t xml:space="preserve"> </m:t>
          </m:r>
        </m:oMath>
      </m:oMathPara>
    </w:p>
    <w:p w:rsidR="00554B48" w:rsidRPr="00A05E9D" w:rsidRDefault="00554B48" w:rsidP="002E504D">
      <w:pPr>
        <w:spacing w:after="0" w:line="240" w:lineRule="auto"/>
        <w:rPr>
          <w:rFonts w:ascii="Arial" w:eastAsiaTheme="minorEastAsia" w:hAnsi="Arial" w:cs="Arial"/>
          <w:bCs/>
          <w:kern w:val="24"/>
        </w:rPr>
      </w:pPr>
    </w:p>
    <w:p w:rsidR="00554B48" w:rsidRDefault="00554B48" w:rsidP="00013E20">
      <w:pPr>
        <w:spacing w:before="100" w:beforeAutospacing="1" w:after="0" w:line="240" w:lineRule="auto"/>
        <w:rPr>
          <w:rFonts w:eastAsiaTheme="minorEastAsia" w:hAnsi="Calibri"/>
          <w:color w:val="000000" w:themeColor="text1"/>
          <w:kern w:val="24"/>
          <w:sz w:val="28"/>
          <w:szCs w:val="28"/>
        </w:rPr>
      </w:pPr>
    </w:p>
    <w:p w:rsidR="00855C8D" w:rsidRDefault="00855C8D" w:rsidP="00013E20">
      <w:pPr>
        <w:spacing w:before="100" w:beforeAutospacing="1" w:after="0" w:line="240" w:lineRule="auto"/>
        <w:rPr>
          <w:rFonts w:ascii="Arial" w:hAnsi="Arial" w:cs="Arial"/>
          <w:bCs/>
          <w:sz w:val="24"/>
          <w:szCs w:val="24"/>
        </w:rPr>
      </w:pPr>
      <w:r>
        <w:rPr>
          <w:rFonts w:ascii="Arial" w:hAnsi="Arial" w:cs="Arial"/>
          <w:bCs/>
          <w:sz w:val="24"/>
          <w:szCs w:val="24"/>
        </w:rPr>
        <w:t xml:space="preserve">Table 2 gives an example </w:t>
      </w:r>
      <w:r w:rsidR="00013E20">
        <w:rPr>
          <w:rFonts w:ascii="Arial" w:hAnsi="Arial" w:cs="Arial"/>
          <w:bCs/>
          <w:sz w:val="24"/>
          <w:szCs w:val="24"/>
        </w:rPr>
        <w:t>how</w:t>
      </w:r>
      <w:r>
        <w:rPr>
          <w:rFonts w:ascii="Arial" w:hAnsi="Arial" w:cs="Arial"/>
          <w:bCs/>
          <w:sz w:val="24"/>
          <w:szCs w:val="24"/>
        </w:rPr>
        <w:t xml:space="preserve"> the child-only methodology </w:t>
      </w:r>
      <w:r w:rsidR="00013E20">
        <w:rPr>
          <w:rFonts w:ascii="Arial" w:hAnsi="Arial" w:cs="Arial"/>
          <w:bCs/>
          <w:sz w:val="24"/>
          <w:szCs w:val="24"/>
        </w:rPr>
        <w:t xml:space="preserve">can be used </w:t>
      </w:r>
      <w:r>
        <w:rPr>
          <w:rFonts w:ascii="Arial" w:hAnsi="Arial" w:cs="Arial"/>
          <w:bCs/>
          <w:sz w:val="24"/>
          <w:szCs w:val="24"/>
        </w:rPr>
        <w:t xml:space="preserve">to estimate the number of undocumented immigrant adults </w:t>
      </w:r>
      <w:r w:rsidR="00013E20">
        <w:rPr>
          <w:rFonts w:ascii="Arial" w:hAnsi="Arial" w:cs="Arial"/>
          <w:bCs/>
          <w:sz w:val="24"/>
          <w:szCs w:val="24"/>
        </w:rPr>
        <w:t>who are likely included in the PAI denominator because they meet the CalFresh income standard.  An assumption about the poverty rate of undocumented immigrants can be applied to that number to estimate the total undocumented immigrant population.</w:t>
      </w:r>
    </w:p>
    <w:p w:rsidR="00341BE6" w:rsidRDefault="00341BE6" w:rsidP="003D4994">
      <w:pPr>
        <w:spacing w:before="100" w:beforeAutospacing="1" w:after="0"/>
        <w:rPr>
          <w:rFonts w:ascii="Arial" w:hAnsi="Arial" w:cs="Arial"/>
          <w:b/>
          <w:bCs/>
        </w:rPr>
      </w:pPr>
    </w:p>
    <w:p w:rsidR="003D4994" w:rsidRPr="003D4994" w:rsidRDefault="00136521" w:rsidP="003D4994">
      <w:pPr>
        <w:spacing w:before="100" w:beforeAutospacing="1" w:after="0"/>
        <w:rPr>
          <w:rFonts w:ascii="Arial" w:hAnsi="Arial" w:cs="Arial"/>
        </w:rPr>
      </w:pPr>
      <w:r>
        <w:rPr>
          <w:rFonts w:ascii="Arial" w:hAnsi="Arial" w:cs="Arial"/>
          <w:b/>
          <w:bCs/>
        </w:rPr>
        <w:lastRenderedPageBreak/>
        <w:t xml:space="preserve">Table 2.  </w:t>
      </w:r>
      <w:r w:rsidR="003D4994">
        <w:rPr>
          <w:rFonts w:ascii="Arial" w:hAnsi="Arial" w:cs="Arial"/>
          <w:b/>
          <w:bCs/>
        </w:rPr>
        <w:t>Using the child-only methodology to estimate the number of CalFresh-eligible undocumented immigrants and total number of undocumented immigrants in Fresno County</w:t>
      </w:r>
    </w:p>
    <w:tbl>
      <w:tblPr>
        <w:tblStyle w:val="TableGrid"/>
        <w:tblW w:w="0" w:type="auto"/>
        <w:tblLook w:val="04A0" w:firstRow="1" w:lastRow="0" w:firstColumn="1" w:lastColumn="0" w:noHBand="0" w:noVBand="1"/>
      </w:tblPr>
      <w:tblGrid>
        <w:gridCol w:w="5522"/>
        <w:gridCol w:w="2114"/>
        <w:gridCol w:w="1940"/>
      </w:tblGrid>
      <w:tr w:rsidR="00F951E4" w:rsidRPr="00E4338A" w:rsidTr="008208FA">
        <w:trPr>
          <w:trHeight w:val="305"/>
        </w:trPr>
        <w:tc>
          <w:tcPr>
            <w:tcW w:w="5688" w:type="dxa"/>
          </w:tcPr>
          <w:p w:rsidR="00F951E4" w:rsidRPr="00E4338A" w:rsidRDefault="00E4338A" w:rsidP="00FC781C">
            <w:pPr>
              <w:jc w:val="center"/>
              <w:rPr>
                <w:rFonts w:ascii="Arial" w:eastAsia="Calibri" w:hAnsi="Arial" w:cs="Arial"/>
                <w:b/>
                <w:bCs/>
                <w:color w:val="000000" w:themeColor="text1"/>
                <w:kern w:val="24"/>
              </w:rPr>
            </w:pPr>
            <w:r w:rsidRPr="00E4338A">
              <w:rPr>
                <w:rFonts w:ascii="Arial" w:eastAsia="Calibri" w:hAnsi="Arial" w:cs="Arial"/>
                <w:b/>
                <w:bCs/>
                <w:color w:val="000000" w:themeColor="text1"/>
                <w:kern w:val="24"/>
              </w:rPr>
              <w:t>Factor to estimate</w:t>
            </w:r>
          </w:p>
        </w:tc>
        <w:tc>
          <w:tcPr>
            <w:tcW w:w="2160" w:type="dxa"/>
          </w:tcPr>
          <w:p w:rsidR="00F951E4" w:rsidRPr="00E4338A" w:rsidRDefault="00F951E4" w:rsidP="00FC781C">
            <w:pPr>
              <w:jc w:val="center"/>
              <w:rPr>
                <w:rFonts w:ascii="Arial" w:eastAsia="Times New Roman" w:hAnsi="Arial" w:cs="Arial"/>
                <w:b/>
                <w:bCs/>
                <w:color w:val="000000" w:themeColor="text1"/>
                <w:kern w:val="24"/>
              </w:rPr>
            </w:pPr>
            <w:r w:rsidRPr="00E4338A">
              <w:rPr>
                <w:rFonts w:ascii="Arial" w:eastAsia="Times New Roman" w:hAnsi="Arial" w:cs="Arial"/>
                <w:b/>
                <w:bCs/>
                <w:color w:val="000000" w:themeColor="text1"/>
                <w:kern w:val="24"/>
              </w:rPr>
              <w:t>Formula</w:t>
            </w:r>
          </w:p>
        </w:tc>
        <w:tc>
          <w:tcPr>
            <w:tcW w:w="1980" w:type="dxa"/>
          </w:tcPr>
          <w:p w:rsidR="00F951E4" w:rsidRPr="00E4338A" w:rsidRDefault="00F951E4" w:rsidP="00FC781C">
            <w:pPr>
              <w:jc w:val="center"/>
              <w:rPr>
                <w:rFonts w:ascii="Arial" w:eastAsia="Times New Roman" w:hAnsi="Arial" w:cs="Arial"/>
                <w:b/>
                <w:bCs/>
                <w:color w:val="000000" w:themeColor="text1"/>
                <w:kern w:val="24"/>
              </w:rPr>
            </w:pPr>
            <w:r w:rsidRPr="00E4338A">
              <w:rPr>
                <w:rFonts w:ascii="Arial" w:eastAsia="Times New Roman" w:hAnsi="Arial" w:cs="Arial"/>
                <w:b/>
                <w:bCs/>
                <w:color w:val="000000" w:themeColor="text1"/>
                <w:kern w:val="24"/>
              </w:rPr>
              <w:t>Number</w:t>
            </w:r>
          </w:p>
        </w:tc>
      </w:tr>
      <w:tr w:rsidR="00F951E4" w:rsidRPr="00E4338A" w:rsidTr="00136521">
        <w:trPr>
          <w:trHeight w:val="332"/>
        </w:trPr>
        <w:tc>
          <w:tcPr>
            <w:tcW w:w="5688" w:type="dxa"/>
          </w:tcPr>
          <w:p w:rsidR="00F951E4" w:rsidRPr="00E4338A" w:rsidRDefault="00F951E4" w:rsidP="00136521">
            <w:pPr>
              <w:rPr>
                <w:rFonts w:ascii="Arial" w:eastAsia="Calibri" w:hAnsi="Arial" w:cs="Arial"/>
                <w:bCs/>
                <w:color w:val="000000" w:themeColor="text1"/>
                <w:kern w:val="24"/>
              </w:rPr>
            </w:pPr>
            <w:r w:rsidRPr="00E4338A">
              <w:rPr>
                <w:rFonts w:ascii="Arial" w:eastAsia="Calibri" w:hAnsi="Arial" w:cs="Arial"/>
                <w:bCs/>
                <w:color w:val="000000" w:themeColor="text1"/>
                <w:kern w:val="24"/>
              </w:rPr>
              <w:t>Number of CCO households in Fresno County, 2011</w:t>
            </w:r>
          </w:p>
        </w:tc>
        <w:tc>
          <w:tcPr>
            <w:tcW w:w="2160" w:type="dxa"/>
          </w:tcPr>
          <w:p w:rsidR="00F951E4" w:rsidRPr="00E4338A" w:rsidRDefault="0094791C" w:rsidP="00FC781C">
            <w:pPr>
              <w:jc w:val="center"/>
              <w:rPr>
                <w:rFonts w:ascii="Arial" w:eastAsia="Times New Roman" w:hAnsi="Arial" w:cs="Arial"/>
                <w:bCs/>
                <w:color w:val="000000" w:themeColor="text1"/>
                <w:kern w:val="24"/>
              </w:rPr>
            </w:pPr>
            <w:r>
              <w:rPr>
                <w:rFonts w:ascii="Arial" w:eastAsia="Times New Roman" w:hAnsi="Arial" w:cs="Arial"/>
                <w:bCs/>
                <w:color w:val="000000" w:themeColor="text1"/>
                <w:kern w:val="24"/>
              </w:rPr>
              <w:t>--</w:t>
            </w:r>
          </w:p>
        </w:tc>
        <w:tc>
          <w:tcPr>
            <w:tcW w:w="1980" w:type="dxa"/>
          </w:tcPr>
          <w:p w:rsidR="00F951E4" w:rsidRPr="00E4338A" w:rsidRDefault="00F951E4" w:rsidP="00FC781C">
            <w:pPr>
              <w:jc w:val="center"/>
              <w:rPr>
                <w:rFonts w:ascii="Arial" w:eastAsia="Calibri" w:hAnsi="Arial" w:cs="Arial"/>
                <w:bCs/>
                <w:color w:val="000000" w:themeColor="text1"/>
                <w:kern w:val="24"/>
              </w:rPr>
            </w:pPr>
            <w:r w:rsidRPr="00E4338A">
              <w:rPr>
                <w:rFonts w:ascii="Arial" w:eastAsia="Times New Roman" w:hAnsi="Arial" w:cs="Arial"/>
                <w:bCs/>
                <w:color w:val="000000" w:themeColor="text1"/>
                <w:kern w:val="24"/>
              </w:rPr>
              <w:t>15,136</w:t>
            </w:r>
          </w:p>
        </w:tc>
      </w:tr>
      <w:tr w:rsidR="00F951E4" w:rsidRPr="00E4338A" w:rsidTr="008208FA">
        <w:trPr>
          <w:trHeight w:val="539"/>
        </w:trPr>
        <w:tc>
          <w:tcPr>
            <w:tcW w:w="5688" w:type="dxa"/>
            <w:hideMark/>
          </w:tcPr>
          <w:p w:rsidR="00F951E4" w:rsidRPr="00E4338A" w:rsidRDefault="00E4338A" w:rsidP="00E4338A">
            <w:pPr>
              <w:rPr>
                <w:rFonts w:ascii="Arial" w:eastAsia="Times New Roman" w:hAnsi="Arial" w:cs="Arial"/>
              </w:rPr>
            </w:pPr>
            <w:r>
              <w:rPr>
                <w:rFonts w:ascii="Arial" w:eastAsia="Calibri" w:hAnsi="Arial" w:cs="Arial"/>
                <w:bCs/>
                <w:color w:val="000000" w:themeColor="text1"/>
                <w:kern w:val="24"/>
              </w:rPr>
              <w:t>N</w:t>
            </w:r>
            <w:r w:rsidR="00F951E4" w:rsidRPr="00E4338A">
              <w:rPr>
                <w:rFonts w:ascii="Arial" w:eastAsia="Calibri" w:hAnsi="Arial" w:cs="Arial"/>
                <w:bCs/>
                <w:color w:val="000000" w:themeColor="text1"/>
                <w:kern w:val="24"/>
              </w:rPr>
              <w:t>umber of households that are child-only due to the parents’ citizenship status</w:t>
            </w:r>
          </w:p>
        </w:tc>
        <w:tc>
          <w:tcPr>
            <w:tcW w:w="2160" w:type="dxa"/>
          </w:tcPr>
          <w:p w:rsidR="00F951E4" w:rsidRPr="00E4338A" w:rsidRDefault="00F951E4" w:rsidP="00FC781C">
            <w:pPr>
              <w:jc w:val="center"/>
              <w:rPr>
                <w:rFonts w:ascii="Arial" w:eastAsia="Times New Roman" w:hAnsi="Arial" w:cs="Arial"/>
              </w:rPr>
            </w:pPr>
            <w:r w:rsidRPr="00E4338A">
              <w:rPr>
                <w:rFonts w:ascii="Arial" w:eastAsia="Times New Roman" w:hAnsi="Arial" w:cs="Arial"/>
                <w:bCs/>
                <w:color w:val="000000" w:themeColor="text1"/>
                <w:kern w:val="24"/>
              </w:rPr>
              <w:t>15,136 x 0.94</w:t>
            </w:r>
          </w:p>
        </w:tc>
        <w:tc>
          <w:tcPr>
            <w:tcW w:w="1980" w:type="dxa"/>
            <w:hideMark/>
          </w:tcPr>
          <w:p w:rsidR="00F951E4" w:rsidRPr="00E4338A" w:rsidRDefault="00F951E4" w:rsidP="00FC781C">
            <w:pPr>
              <w:jc w:val="center"/>
              <w:rPr>
                <w:rFonts w:ascii="Arial" w:eastAsia="Times New Roman" w:hAnsi="Arial" w:cs="Arial"/>
              </w:rPr>
            </w:pPr>
            <w:r w:rsidRPr="00E4338A">
              <w:rPr>
                <w:rFonts w:ascii="Arial" w:eastAsia="Calibri" w:hAnsi="Arial" w:cs="Arial"/>
                <w:bCs/>
                <w:color w:val="000000" w:themeColor="text1"/>
                <w:kern w:val="24"/>
              </w:rPr>
              <w:t>14,228</w:t>
            </w:r>
          </w:p>
        </w:tc>
      </w:tr>
      <w:tr w:rsidR="00F951E4" w:rsidRPr="00E4338A" w:rsidTr="008208FA">
        <w:trPr>
          <w:trHeight w:val="521"/>
        </w:trPr>
        <w:tc>
          <w:tcPr>
            <w:tcW w:w="5688" w:type="dxa"/>
            <w:hideMark/>
          </w:tcPr>
          <w:p w:rsidR="00F951E4" w:rsidRPr="00E4338A" w:rsidRDefault="00E4338A" w:rsidP="00E4338A">
            <w:pPr>
              <w:rPr>
                <w:rFonts w:ascii="Arial" w:eastAsia="Times New Roman" w:hAnsi="Arial" w:cs="Arial"/>
              </w:rPr>
            </w:pPr>
            <w:r>
              <w:rPr>
                <w:rFonts w:ascii="Arial" w:eastAsia="Calibri" w:hAnsi="Arial" w:cs="Arial"/>
                <w:bCs/>
                <w:color w:val="000000" w:themeColor="text1"/>
                <w:kern w:val="24"/>
              </w:rPr>
              <w:t>N</w:t>
            </w:r>
            <w:r w:rsidR="00F951E4" w:rsidRPr="00E4338A">
              <w:rPr>
                <w:rFonts w:ascii="Arial" w:eastAsia="Calibri" w:hAnsi="Arial" w:cs="Arial"/>
                <w:bCs/>
                <w:color w:val="000000" w:themeColor="text1"/>
                <w:kern w:val="24"/>
              </w:rPr>
              <w:t xml:space="preserve">umber of </w:t>
            </w:r>
            <w:r w:rsidR="00013E20">
              <w:rPr>
                <w:rFonts w:ascii="Arial" w:eastAsia="Calibri" w:hAnsi="Arial" w:cs="Arial"/>
                <w:bCs/>
                <w:color w:val="000000" w:themeColor="text1"/>
                <w:kern w:val="24"/>
              </w:rPr>
              <w:t xml:space="preserve">CalFresh-poor </w:t>
            </w:r>
            <w:r w:rsidR="00F951E4" w:rsidRPr="00E4338A">
              <w:rPr>
                <w:rFonts w:ascii="Arial" w:eastAsia="Calibri" w:hAnsi="Arial" w:cs="Arial"/>
                <w:bCs/>
                <w:color w:val="000000" w:themeColor="text1"/>
                <w:kern w:val="24"/>
              </w:rPr>
              <w:t>undocumented adults residing in child-only households</w:t>
            </w:r>
          </w:p>
        </w:tc>
        <w:tc>
          <w:tcPr>
            <w:tcW w:w="2160" w:type="dxa"/>
          </w:tcPr>
          <w:p w:rsidR="00F951E4" w:rsidRPr="00E4338A" w:rsidRDefault="00F951E4" w:rsidP="00FC781C">
            <w:pPr>
              <w:jc w:val="center"/>
              <w:rPr>
                <w:rFonts w:ascii="Arial" w:eastAsia="Times New Roman" w:hAnsi="Arial" w:cs="Arial"/>
              </w:rPr>
            </w:pPr>
            <w:r w:rsidRPr="00E4338A">
              <w:rPr>
                <w:rFonts w:ascii="Arial" w:eastAsia="Times New Roman" w:hAnsi="Arial" w:cs="Arial"/>
                <w:bCs/>
                <w:color w:val="000000" w:themeColor="text1"/>
                <w:kern w:val="24"/>
              </w:rPr>
              <w:t>14,228 x 1.77</w:t>
            </w:r>
          </w:p>
        </w:tc>
        <w:tc>
          <w:tcPr>
            <w:tcW w:w="1980" w:type="dxa"/>
            <w:hideMark/>
          </w:tcPr>
          <w:p w:rsidR="00F951E4" w:rsidRPr="00E4338A" w:rsidRDefault="00F951E4" w:rsidP="00FC781C">
            <w:pPr>
              <w:jc w:val="center"/>
              <w:rPr>
                <w:rFonts w:ascii="Arial" w:eastAsia="Times New Roman" w:hAnsi="Arial" w:cs="Arial"/>
              </w:rPr>
            </w:pPr>
            <w:r w:rsidRPr="00E4338A">
              <w:rPr>
                <w:rFonts w:ascii="Arial" w:eastAsia="Calibri" w:hAnsi="Arial" w:cs="Arial"/>
                <w:bCs/>
                <w:color w:val="000000" w:themeColor="text1"/>
                <w:kern w:val="24"/>
              </w:rPr>
              <w:t>25,184</w:t>
            </w:r>
          </w:p>
        </w:tc>
      </w:tr>
      <w:tr w:rsidR="00E4338A" w:rsidRPr="00E4338A" w:rsidTr="008208FA">
        <w:trPr>
          <w:trHeight w:val="539"/>
        </w:trPr>
        <w:tc>
          <w:tcPr>
            <w:tcW w:w="5688" w:type="dxa"/>
          </w:tcPr>
          <w:p w:rsidR="00E4338A" w:rsidRPr="00E4338A" w:rsidRDefault="00013E20" w:rsidP="00013E20">
            <w:pPr>
              <w:rPr>
                <w:rFonts w:ascii="Arial" w:eastAsia="Times New Roman" w:hAnsi="Arial" w:cs="Arial"/>
              </w:rPr>
            </w:pPr>
            <w:r>
              <w:rPr>
                <w:rFonts w:ascii="Arial" w:eastAsia="Calibri" w:hAnsi="Arial" w:cs="Arial"/>
                <w:bCs/>
                <w:color w:val="000000" w:themeColor="text1"/>
                <w:kern w:val="24"/>
              </w:rPr>
              <w:t xml:space="preserve">Total </w:t>
            </w:r>
            <w:r w:rsidR="001306AA">
              <w:rPr>
                <w:rFonts w:ascii="Arial" w:eastAsia="Calibri" w:hAnsi="Arial" w:cs="Arial"/>
                <w:bCs/>
                <w:color w:val="000000" w:themeColor="text1"/>
                <w:kern w:val="24"/>
              </w:rPr>
              <w:t>n</w:t>
            </w:r>
            <w:r w:rsidR="00E4338A" w:rsidRPr="00E4338A">
              <w:rPr>
                <w:rFonts w:ascii="Arial" w:eastAsia="Calibri" w:hAnsi="Arial" w:cs="Arial"/>
                <w:bCs/>
                <w:color w:val="000000" w:themeColor="text1"/>
                <w:kern w:val="24"/>
              </w:rPr>
              <w:t xml:space="preserve">umber of </w:t>
            </w:r>
            <w:r>
              <w:rPr>
                <w:rFonts w:ascii="Arial" w:eastAsia="Calibri" w:hAnsi="Arial" w:cs="Arial"/>
                <w:bCs/>
                <w:color w:val="000000" w:themeColor="text1"/>
                <w:kern w:val="24"/>
              </w:rPr>
              <w:t>CalFresh-poor undocumented adults, including those</w:t>
            </w:r>
            <w:r w:rsidR="00E4338A" w:rsidRPr="00E4338A">
              <w:rPr>
                <w:rFonts w:ascii="Arial" w:eastAsia="Calibri" w:hAnsi="Arial" w:cs="Arial"/>
                <w:bCs/>
                <w:color w:val="000000" w:themeColor="text1"/>
                <w:kern w:val="24"/>
              </w:rPr>
              <w:t xml:space="preserve"> residing in households</w:t>
            </w:r>
            <w:r w:rsidR="00E4338A">
              <w:rPr>
                <w:rFonts w:ascii="Arial" w:eastAsia="Calibri" w:hAnsi="Arial" w:cs="Arial"/>
                <w:bCs/>
                <w:color w:val="000000" w:themeColor="text1"/>
                <w:kern w:val="24"/>
              </w:rPr>
              <w:t xml:space="preserve"> without children</w:t>
            </w:r>
          </w:p>
        </w:tc>
        <w:tc>
          <w:tcPr>
            <w:tcW w:w="2160" w:type="dxa"/>
          </w:tcPr>
          <w:p w:rsidR="00E4338A" w:rsidRPr="00E4338A" w:rsidRDefault="00E4338A" w:rsidP="00B61F67">
            <w:pPr>
              <w:jc w:val="center"/>
              <w:rPr>
                <w:rFonts w:ascii="Arial" w:eastAsia="Calibri" w:hAnsi="Arial" w:cs="Arial"/>
                <w:bCs/>
                <w:color w:val="000000" w:themeColor="text1"/>
                <w:kern w:val="24"/>
              </w:rPr>
            </w:pPr>
            <w:r w:rsidRPr="00E4338A">
              <w:rPr>
                <w:rFonts w:ascii="Arial" w:eastAsia="Calibri" w:hAnsi="Arial" w:cs="Arial"/>
                <w:bCs/>
                <w:color w:val="000000" w:themeColor="text1"/>
                <w:kern w:val="24"/>
              </w:rPr>
              <w:t xml:space="preserve">25,184 </w:t>
            </w:r>
            <w:r>
              <w:rPr>
                <w:rFonts w:ascii="Arial" w:eastAsia="Times New Roman" w:hAnsi="Arial" w:cs="Arial"/>
                <w:bCs/>
                <w:color w:val="000000" w:themeColor="text1"/>
                <w:kern w:val="24"/>
              </w:rPr>
              <w:t xml:space="preserve"> x </w:t>
            </w:r>
            <w:r w:rsidR="00B61F67">
              <w:rPr>
                <w:rFonts w:ascii="Arial" w:eastAsia="Times New Roman" w:hAnsi="Arial" w:cs="Arial"/>
                <w:bCs/>
                <w:color w:val="000000" w:themeColor="text1"/>
                <w:kern w:val="24"/>
              </w:rPr>
              <w:t>1.7</w:t>
            </w:r>
          </w:p>
        </w:tc>
        <w:tc>
          <w:tcPr>
            <w:tcW w:w="1980" w:type="dxa"/>
          </w:tcPr>
          <w:p w:rsidR="00E4338A" w:rsidRPr="001306AA" w:rsidRDefault="001306AA" w:rsidP="00FC781C">
            <w:pPr>
              <w:jc w:val="center"/>
              <w:rPr>
                <w:rFonts w:ascii="Arial" w:eastAsia="Calibri" w:hAnsi="Arial" w:cs="Arial"/>
                <w:b/>
                <w:bCs/>
                <w:color w:val="000000" w:themeColor="text1"/>
                <w:kern w:val="24"/>
              </w:rPr>
            </w:pPr>
            <w:r>
              <w:rPr>
                <w:rFonts w:ascii="Arial" w:eastAsia="Calibri" w:hAnsi="Arial" w:cs="Arial"/>
                <w:b/>
                <w:bCs/>
                <w:color w:val="000000" w:themeColor="text1"/>
                <w:kern w:val="24"/>
              </w:rPr>
              <w:t>42,812</w:t>
            </w:r>
          </w:p>
        </w:tc>
      </w:tr>
      <w:tr w:rsidR="00CD1CE0" w:rsidRPr="00E4338A" w:rsidTr="008208FA">
        <w:trPr>
          <w:trHeight w:val="359"/>
        </w:trPr>
        <w:tc>
          <w:tcPr>
            <w:tcW w:w="5688" w:type="dxa"/>
          </w:tcPr>
          <w:p w:rsidR="00CD1CE0" w:rsidRPr="00E4338A" w:rsidRDefault="008208FA" w:rsidP="008208FA">
            <w:pPr>
              <w:rPr>
                <w:rFonts w:ascii="Arial" w:eastAsia="Calibri" w:hAnsi="Arial" w:cs="Arial"/>
                <w:bCs/>
                <w:color w:val="000000" w:themeColor="text1"/>
                <w:kern w:val="24"/>
              </w:rPr>
            </w:pPr>
            <w:r>
              <w:rPr>
                <w:rFonts w:ascii="Arial" w:eastAsia="Calibri" w:hAnsi="Arial" w:cs="Arial"/>
                <w:bCs/>
                <w:color w:val="000000" w:themeColor="text1"/>
                <w:kern w:val="24"/>
              </w:rPr>
              <w:t xml:space="preserve">Estimated </w:t>
            </w:r>
            <w:r w:rsidR="00CD1CE0">
              <w:rPr>
                <w:rFonts w:ascii="Arial" w:eastAsia="Calibri" w:hAnsi="Arial" w:cs="Arial"/>
                <w:bCs/>
                <w:color w:val="000000" w:themeColor="text1"/>
                <w:kern w:val="24"/>
              </w:rPr>
              <w:t>poverty rate</w:t>
            </w:r>
            <w:r>
              <w:rPr>
                <w:rFonts w:ascii="Arial" w:eastAsia="Calibri" w:hAnsi="Arial" w:cs="Arial"/>
                <w:bCs/>
                <w:color w:val="000000" w:themeColor="text1"/>
                <w:kern w:val="24"/>
              </w:rPr>
              <w:t xml:space="preserve"> for undocumented immigrants</w:t>
            </w:r>
            <w:r>
              <w:rPr>
                <w:rStyle w:val="FootnoteReference"/>
                <w:rFonts w:ascii="Arial" w:eastAsia="Calibri" w:hAnsi="Arial" w:cs="Arial"/>
                <w:bCs/>
                <w:color w:val="000000" w:themeColor="text1"/>
                <w:kern w:val="24"/>
              </w:rPr>
              <w:footnoteReference w:id="11"/>
            </w:r>
            <w:r>
              <w:rPr>
                <w:rFonts w:ascii="Arial" w:eastAsia="Calibri" w:hAnsi="Arial" w:cs="Arial"/>
                <w:bCs/>
                <w:color w:val="000000" w:themeColor="text1"/>
                <w:kern w:val="24"/>
              </w:rPr>
              <w:t xml:space="preserve">  </w:t>
            </w:r>
          </w:p>
        </w:tc>
        <w:tc>
          <w:tcPr>
            <w:tcW w:w="2160" w:type="dxa"/>
          </w:tcPr>
          <w:p w:rsidR="00CD1CE0" w:rsidRPr="00E4338A" w:rsidRDefault="00CD1CE0" w:rsidP="00FC781C">
            <w:pPr>
              <w:jc w:val="center"/>
              <w:rPr>
                <w:rFonts w:ascii="Arial" w:eastAsia="Times New Roman" w:hAnsi="Arial" w:cs="Arial"/>
                <w:bCs/>
                <w:color w:val="000000" w:themeColor="text1"/>
                <w:kern w:val="24"/>
              </w:rPr>
            </w:pPr>
            <w:r>
              <w:rPr>
                <w:rFonts w:ascii="Arial" w:eastAsia="Times New Roman" w:hAnsi="Arial" w:cs="Arial"/>
                <w:bCs/>
                <w:color w:val="000000" w:themeColor="text1"/>
                <w:kern w:val="24"/>
              </w:rPr>
              <w:t>--</w:t>
            </w:r>
          </w:p>
        </w:tc>
        <w:tc>
          <w:tcPr>
            <w:tcW w:w="1980" w:type="dxa"/>
          </w:tcPr>
          <w:p w:rsidR="00CD1CE0" w:rsidRPr="00E4338A" w:rsidRDefault="00CD1CE0" w:rsidP="00CD1CE0">
            <w:pPr>
              <w:jc w:val="center"/>
              <w:rPr>
                <w:rFonts w:ascii="Arial" w:eastAsia="Calibri" w:hAnsi="Arial" w:cs="Arial"/>
                <w:bCs/>
                <w:color w:val="000000" w:themeColor="text1"/>
                <w:kern w:val="24"/>
              </w:rPr>
            </w:pPr>
            <w:r>
              <w:rPr>
                <w:rFonts w:ascii="Arial" w:eastAsia="Calibri" w:hAnsi="Arial" w:cs="Arial"/>
                <w:bCs/>
                <w:color w:val="000000" w:themeColor="text1"/>
                <w:kern w:val="24"/>
              </w:rPr>
              <w:t>32.5</w:t>
            </w:r>
            <w:r w:rsidR="00263619">
              <w:rPr>
                <w:rFonts w:ascii="Arial" w:eastAsia="Calibri" w:hAnsi="Arial" w:cs="Arial"/>
                <w:bCs/>
                <w:color w:val="000000" w:themeColor="text1"/>
                <w:kern w:val="24"/>
              </w:rPr>
              <w:t>%</w:t>
            </w:r>
          </w:p>
        </w:tc>
      </w:tr>
      <w:tr w:rsidR="00363C88" w:rsidRPr="00E4338A" w:rsidTr="00855C8D">
        <w:trPr>
          <w:trHeight w:val="341"/>
        </w:trPr>
        <w:tc>
          <w:tcPr>
            <w:tcW w:w="5688" w:type="dxa"/>
            <w:hideMark/>
          </w:tcPr>
          <w:p w:rsidR="00363C88" w:rsidRPr="00363C88" w:rsidRDefault="00363C88" w:rsidP="00855C8D">
            <w:pPr>
              <w:rPr>
                <w:rFonts w:ascii="Arial" w:eastAsia="Times New Roman" w:hAnsi="Arial" w:cs="Arial"/>
                <w:color w:val="FF0000"/>
              </w:rPr>
            </w:pPr>
            <w:r w:rsidRPr="00E4338A">
              <w:rPr>
                <w:rFonts w:ascii="Arial" w:eastAsia="Calibri" w:hAnsi="Arial" w:cs="Arial"/>
                <w:bCs/>
                <w:color w:val="000000" w:themeColor="text1"/>
                <w:kern w:val="24"/>
              </w:rPr>
              <w:t xml:space="preserve">Fresno’s poverty rate </w:t>
            </w:r>
            <w:r w:rsidR="00855C8D">
              <w:rPr>
                <w:rFonts w:ascii="Arial" w:eastAsia="Calibri" w:hAnsi="Arial" w:cs="Arial"/>
                <w:bCs/>
                <w:color w:val="000000" w:themeColor="text1"/>
                <w:kern w:val="24"/>
              </w:rPr>
              <w:t xml:space="preserve">for all individuals </w:t>
            </w:r>
            <w:r w:rsidRPr="00E4338A">
              <w:rPr>
                <w:rFonts w:ascii="Arial" w:eastAsia="Calibri" w:hAnsi="Arial" w:cs="Arial"/>
                <w:bCs/>
                <w:color w:val="000000" w:themeColor="text1"/>
                <w:kern w:val="24"/>
              </w:rPr>
              <w:t>relative to the statewide average</w:t>
            </w:r>
            <w:r>
              <w:rPr>
                <w:rFonts w:ascii="Arial" w:eastAsia="Calibri" w:hAnsi="Arial" w:cs="Arial"/>
                <w:bCs/>
                <w:color w:val="000000" w:themeColor="text1"/>
                <w:kern w:val="24"/>
              </w:rPr>
              <w:t xml:space="preserve"> </w:t>
            </w:r>
          </w:p>
        </w:tc>
        <w:tc>
          <w:tcPr>
            <w:tcW w:w="2160" w:type="dxa"/>
          </w:tcPr>
          <w:p w:rsidR="00363C88" w:rsidRPr="00E4338A" w:rsidRDefault="00363C88" w:rsidP="00FC781C">
            <w:pPr>
              <w:jc w:val="center"/>
              <w:rPr>
                <w:rFonts w:ascii="Arial" w:hAnsi="Arial" w:cs="Arial"/>
              </w:rPr>
            </w:pPr>
            <w:r w:rsidRPr="00E4338A">
              <w:rPr>
                <w:rFonts w:ascii="Arial" w:eastAsia="Times New Roman" w:hAnsi="Arial" w:cs="Arial"/>
                <w:bCs/>
                <w:color w:val="000000" w:themeColor="text1"/>
                <w:kern w:val="24"/>
              </w:rPr>
              <w:t>23.4</w:t>
            </w:r>
            <w:r w:rsidR="00263619">
              <w:rPr>
                <w:rFonts w:ascii="Arial" w:eastAsia="Times New Roman" w:hAnsi="Arial" w:cs="Arial"/>
                <w:bCs/>
                <w:color w:val="000000" w:themeColor="text1"/>
                <w:kern w:val="24"/>
              </w:rPr>
              <w:t>%</w:t>
            </w:r>
            <w:r w:rsidRPr="00E4338A">
              <w:rPr>
                <w:rFonts w:ascii="Arial" w:eastAsia="Times New Roman" w:hAnsi="Arial" w:cs="Arial"/>
                <w:bCs/>
                <w:color w:val="000000" w:themeColor="text1"/>
                <w:kern w:val="24"/>
              </w:rPr>
              <w:t xml:space="preserve"> ÷ 15.07</w:t>
            </w:r>
            <w:r w:rsidR="00263619">
              <w:rPr>
                <w:rFonts w:ascii="Arial" w:eastAsia="Times New Roman" w:hAnsi="Arial" w:cs="Arial"/>
                <w:bCs/>
                <w:color w:val="000000" w:themeColor="text1"/>
                <w:kern w:val="24"/>
              </w:rPr>
              <w:t>%</w:t>
            </w:r>
          </w:p>
        </w:tc>
        <w:tc>
          <w:tcPr>
            <w:tcW w:w="1980" w:type="dxa"/>
            <w:hideMark/>
          </w:tcPr>
          <w:p w:rsidR="00363C88" w:rsidRPr="00E4338A" w:rsidRDefault="00363C88" w:rsidP="00FC781C">
            <w:pPr>
              <w:jc w:val="center"/>
              <w:rPr>
                <w:rFonts w:ascii="Arial" w:eastAsia="Times New Roman" w:hAnsi="Arial" w:cs="Arial"/>
              </w:rPr>
            </w:pPr>
            <w:r w:rsidRPr="00E4338A">
              <w:rPr>
                <w:rFonts w:ascii="Arial" w:eastAsia="Calibri" w:hAnsi="Arial" w:cs="Arial"/>
                <w:bCs/>
                <w:color w:val="000000" w:themeColor="text1"/>
                <w:kern w:val="24"/>
              </w:rPr>
              <w:t>1.55</w:t>
            </w:r>
          </w:p>
        </w:tc>
      </w:tr>
      <w:tr w:rsidR="00363C88" w:rsidRPr="00E4338A" w:rsidTr="008208FA">
        <w:trPr>
          <w:trHeight w:val="1015"/>
        </w:trPr>
        <w:tc>
          <w:tcPr>
            <w:tcW w:w="5688" w:type="dxa"/>
            <w:hideMark/>
          </w:tcPr>
          <w:p w:rsidR="00363C88" w:rsidRPr="00E4338A" w:rsidRDefault="00DE336D" w:rsidP="00DE336D">
            <w:pPr>
              <w:rPr>
                <w:rFonts w:ascii="Arial" w:eastAsia="Times New Roman" w:hAnsi="Arial" w:cs="Arial"/>
              </w:rPr>
            </w:pPr>
            <w:r>
              <w:rPr>
                <w:rFonts w:ascii="Arial" w:eastAsia="Calibri" w:hAnsi="Arial" w:cs="Arial"/>
                <w:bCs/>
                <w:color w:val="000000" w:themeColor="text1"/>
                <w:kern w:val="24"/>
              </w:rPr>
              <w:t>Estimated poverty rate for undocumented immigrants in Fresno County; assume this is the share of undocumented immigrants who are CalFresh-income-eligible</w:t>
            </w:r>
          </w:p>
        </w:tc>
        <w:tc>
          <w:tcPr>
            <w:tcW w:w="2160" w:type="dxa"/>
          </w:tcPr>
          <w:p w:rsidR="00363C88" w:rsidRPr="00E4338A" w:rsidRDefault="00363C88" w:rsidP="00FC781C">
            <w:pPr>
              <w:jc w:val="center"/>
              <w:rPr>
                <w:rFonts w:ascii="Arial" w:eastAsia="Times New Roman" w:hAnsi="Arial" w:cs="Arial"/>
              </w:rPr>
            </w:pPr>
            <w:r w:rsidRPr="00E4338A">
              <w:rPr>
                <w:rFonts w:ascii="Arial" w:eastAsia="Times New Roman" w:hAnsi="Arial" w:cs="Arial"/>
                <w:bCs/>
                <w:color w:val="000000" w:themeColor="text1"/>
                <w:kern w:val="24"/>
              </w:rPr>
              <w:t>1.55 x 32.5</w:t>
            </w:r>
            <w:r w:rsidR="00263619">
              <w:rPr>
                <w:rFonts w:ascii="Arial" w:eastAsia="Times New Roman" w:hAnsi="Arial" w:cs="Arial"/>
                <w:bCs/>
                <w:color w:val="000000" w:themeColor="text1"/>
                <w:kern w:val="24"/>
              </w:rPr>
              <w:t>%</w:t>
            </w:r>
            <w:r w:rsidRPr="00E4338A">
              <w:rPr>
                <w:rFonts w:ascii="Arial" w:eastAsia="Times New Roman" w:hAnsi="Arial" w:cs="Arial"/>
                <w:bCs/>
                <w:color w:val="0070C0"/>
                <w:kern w:val="24"/>
              </w:rPr>
              <w:t>*</w:t>
            </w:r>
          </w:p>
        </w:tc>
        <w:tc>
          <w:tcPr>
            <w:tcW w:w="1980" w:type="dxa"/>
            <w:hideMark/>
          </w:tcPr>
          <w:p w:rsidR="00363C88" w:rsidRPr="00E4338A" w:rsidRDefault="00363C88" w:rsidP="00FC781C">
            <w:pPr>
              <w:jc w:val="center"/>
              <w:rPr>
                <w:rFonts w:ascii="Arial" w:eastAsia="Times New Roman" w:hAnsi="Arial" w:cs="Arial"/>
              </w:rPr>
            </w:pPr>
            <w:r w:rsidRPr="00E4338A">
              <w:rPr>
                <w:rFonts w:ascii="Arial" w:eastAsia="Calibri" w:hAnsi="Arial" w:cs="Arial"/>
                <w:bCs/>
                <w:color w:val="000000" w:themeColor="text1"/>
                <w:kern w:val="24"/>
              </w:rPr>
              <w:t>50.5</w:t>
            </w:r>
            <w:r w:rsidR="00263619">
              <w:rPr>
                <w:rFonts w:ascii="Arial" w:eastAsia="Calibri" w:hAnsi="Arial" w:cs="Arial"/>
                <w:bCs/>
                <w:color w:val="000000" w:themeColor="text1"/>
                <w:kern w:val="24"/>
              </w:rPr>
              <w:t>%</w:t>
            </w:r>
          </w:p>
        </w:tc>
      </w:tr>
      <w:tr w:rsidR="00363C88" w:rsidRPr="00DE336D" w:rsidTr="00DE336D">
        <w:trPr>
          <w:trHeight w:val="575"/>
        </w:trPr>
        <w:tc>
          <w:tcPr>
            <w:tcW w:w="5688" w:type="dxa"/>
            <w:hideMark/>
          </w:tcPr>
          <w:p w:rsidR="00363C88" w:rsidRPr="00DE336D" w:rsidRDefault="00363C88" w:rsidP="00DE336D">
            <w:pPr>
              <w:rPr>
                <w:rFonts w:ascii="Arial" w:eastAsia="Times New Roman" w:hAnsi="Arial" w:cs="Arial"/>
                <w:b/>
              </w:rPr>
            </w:pPr>
            <w:r w:rsidRPr="00DE336D">
              <w:rPr>
                <w:rFonts w:ascii="Arial" w:eastAsia="Calibri" w:hAnsi="Arial" w:cs="Arial"/>
                <w:b/>
                <w:bCs/>
                <w:color w:val="000000" w:themeColor="text1"/>
                <w:kern w:val="24"/>
              </w:rPr>
              <w:t>Estimate</w:t>
            </w:r>
            <w:r w:rsidR="00DE336D" w:rsidRPr="00DE336D">
              <w:rPr>
                <w:rFonts w:ascii="Arial" w:eastAsia="Calibri" w:hAnsi="Arial" w:cs="Arial"/>
                <w:b/>
                <w:bCs/>
                <w:color w:val="000000" w:themeColor="text1"/>
                <w:kern w:val="24"/>
              </w:rPr>
              <w:t>d</w:t>
            </w:r>
            <w:r w:rsidRPr="00DE336D">
              <w:rPr>
                <w:rFonts w:ascii="Arial" w:eastAsia="Calibri" w:hAnsi="Arial" w:cs="Arial"/>
                <w:b/>
                <w:bCs/>
                <w:color w:val="000000" w:themeColor="text1"/>
                <w:kern w:val="24"/>
              </w:rPr>
              <w:t xml:space="preserve"> total number of undocumented persons in Fresno County</w:t>
            </w:r>
            <w:r w:rsidR="005827AE" w:rsidRPr="00DE336D">
              <w:rPr>
                <w:rFonts w:ascii="Arial" w:eastAsia="Calibri" w:hAnsi="Arial" w:cs="Arial"/>
                <w:b/>
                <w:bCs/>
                <w:color w:val="000000" w:themeColor="text1"/>
                <w:kern w:val="24"/>
              </w:rPr>
              <w:t xml:space="preserve"> </w:t>
            </w:r>
          </w:p>
        </w:tc>
        <w:tc>
          <w:tcPr>
            <w:tcW w:w="2160" w:type="dxa"/>
          </w:tcPr>
          <w:p w:rsidR="00363C88" w:rsidRPr="00DE336D" w:rsidRDefault="009C6E74" w:rsidP="00FC781C">
            <w:pPr>
              <w:jc w:val="center"/>
              <w:rPr>
                <w:rFonts w:ascii="Arial" w:eastAsia="Times New Roman" w:hAnsi="Arial" w:cs="Arial"/>
                <w:b/>
              </w:rPr>
            </w:pPr>
            <w:r w:rsidRPr="00DE336D">
              <w:rPr>
                <w:rFonts w:ascii="Arial" w:eastAsia="Times New Roman" w:hAnsi="Arial" w:cs="Arial"/>
                <w:b/>
                <w:bCs/>
                <w:color w:val="000000" w:themeColor="text1"/>
                <w:kern w:val="24"/>
              </w:rPr>
              <w:t xml:space="preserve">42,812 / </w:t>
            </w:r>
            <w:r w:rsidR="00263619">
              <w:rPr>
                <w:rFonts w:ascii="Arial" w:eastAsia="Times New Roman" w:hAnsi="Arial" w:cs="Arial"/>
                <w:b/>
                <w:bCs/>
                <w:color w:val="000000" w:themeColor="text1"/>
                <w:kern w:val="24"/>
              </w:rPr>
              <w:t>.50</w:t>
            </w:r>
            <w:r w:rsidR="00466018" w:rsidRPr="00DE336D">
              <w:rPr>
                <w:rFonts w:ascii="Arial" w:eastAsia="Times New Roman" w:hAnsi="Arial" w:cs="Arial"/>
                <w:b/>
                <w:bCs/>
                <w:color w:val="000000" w:themeColor="text1"/>
                <w:kern w:val="24"/>
              </w:rPr>
              <w:t>5</w:t>
            </w:r>
          </w:p>
        </w:tc>
        <w:tc>
          <w:tcPr>
            <w:tcW w:w="1980" w:type="dxa"/>
            <w:hideMark/>
          </w:tcPr>
          <w:p w:rsidR="00363C88" w:rsidRPr="00DE336D" w:rsidRDefault="00363C88" w:rsidP="009C6E74">
            <w:pPr>
              <w:jc w:val="center"/>
              <w:rPr>
                <w:rFonts w:ascii="Arial" w:eastAsia="Calibri" w:hAnsi="Arial" w:cs="Arial"/>
                <w:b/>
                <w:bCs/>
                <w:color w:val="000000" w:themeColor="text1"/>
                <w:kern w:val="24"/>
              </w:rPr>
            </w:pPr>
            <w:r w:rsidRPr="00DE336D">
              <w:rPr>
                <w:rFonts w:ascii="Arial" w:eastAsia="Calibri" w:hAnsi="Arial" w:cs="Arial"/>
                <w:b/>
                <w:bCs/>
                <w:color w:val="000000" w:themeColor="text1"/>
                <w:kern w:val="24"/>
              </w:rPr>
              <w:t>84,858</w:t>
            </w:r>
          </w:p>
        </w:tc>
      </w:tr>
    </w:tbl>
    <w:p w:rsidR="00263619" w:rsidRDefault="00263619" w:rsidP="003D05A9">
      <w:pPr>
        <w:spacing w:before="100" w:beforeAutospacing="1" w:after="100" w:afterAutospacing="1" w:line="240" w:lineRule="auto"/>
        <w:rPr>
          <w:rFonts w:ascii="Arial" w:hAnsi="Arial" w:cs="Arial"/>
          <w:b/>
          <w:bCs/>
          <w:color w:val="000000"/>
        </w:rPr>
      </w:pPr>
    </w:p>
    <w:p w:rsidR="003D4994" w:rsidRDefault="003D4994" w:rsidP="003D05A9">
      <w:pPr>
        <w:spacing w:before="100" w:beforeAutospacing="1" w:after="100" w:afterAutospacing="1" w:line="240" w:lineRule="auto"/>
        <w:rPr>
          <w:rFonts w:ascii="Arial" w:hAnsi="Arial" w:cs="Arial"/>
          <w:b/>
          <w:bCs/>
          <w:color w:val="000000"/>
        </w:rPr>
      </w:pPr>
      <w:r>
        <w:rPr>
          <w:rFonts w:ascii="Arial" w:hAnsi="Arial" w:cs="Arial"/>
          <w:b/>
          <w:bCs/>
          <w:color w:val="000000"/>
        </w:rPr>
        <w:t>Validation of the PRI</w:t>
      </w:r>
    </w:p>
    <w:p w:rsidR="003D4994" w:rsidRDefault="00011F4E" w:rsidP="003D05A9">
      <w:pPr>
        <w:spacing w:after="0" w:line="240" w:lineRule="auto"/>
        <w:rPr>
          <w:rFonts w:ascii="Arial" w:hAnsi="Arial" w:cs="Arial"/>
        </w:rPr>
      </w:pPr>
      <w:r>
        <w:rPr>
          <w:rFonts w:ascii="Arial" w:hAnsi="Arial" w:cs="Arial"/>
        </w:rPr>
        <w:t>The child-only methodology produces a statewide estimat</w:t>
      </w:r>
      <w:r w:rsidR="00783292">
        <w:rPr>
          <w:rFonts w:ascii="Arial" w:hAnsi="Arial" w:cs="Arial"/>
        </w:rPr>
        <w:t>e</w:t>
      </w:r>
      <w:r>
        <w:rPr>
          <w:rFonts w:ascii="Arial" w:hAnsi="Arial" w:cs="Arial"/>
        </w:rPr>
        <w:t xml:space="preserve"> of California’s undocumented immigrant population that </w:t>
      </w:r>
      <w:r w:rsidR="00783292">
        <w:rPr>
          <w:rFonts w:ascii="Arial" w:hAnsi="Arial" w:cs="Arial"/>
        </w:rPr>
        <w:t>is</w:t>
      </w:r>
      <w:r>
        <w:rPr>
          <w:rFonts w:ascii="Arial" w:hAnsi="Arial" w:cs="Arial"/>
        </w:rPr>
        <w:t xml:space="preserve"> within range of two other estimates.</w:t>
      </w:r>
      <w:r w:rsidR="00783292">
        <w:rPr>
          <w:rFonts w:ascii="Arial" w:hAnsi="Arial" w:cs="Arial"/>
        </w:rPr>
        <w:t xml:space="preserve">  First, while estimates for individual cou</w:t>
      </w:r>
      <w:r w:rsidR="00FB6CF7">
        <w:rPr>
          <w:rFonts w:ascii="Arial" w:hAnsi="Arial" w:cs="Arial"/>
        </w:rPr>
        <w:t>nties vary, as shown in Table 3</w:t>
      </w:r>
      <w:r w:rsidR="00783292">
        <w:rPr>
          <w:rFonts w:ascii="Arial" w:hAnsi="Arial" w:cs="Arial"/>
        </w:rPr>
        <w:t xml:space="preserve">, CDSS’ statewide total for 2011 of 2.865 million is close to </w:t>
      </w:r>
      <w:r w:rsidR="00EC47C8">
        <w:rPr>
          <w:rFonts w:ascii="Arial" w:hAnsi="Arial" w:cs="Arial"/>
        </w:rPr>
        <w:t>the Public Policy Institute of California</w:t>
      </w:r>
      <w:r w:rsidR="00783292">
        <w:rPr>
          <w:rFonts w:ascii="Arial" w:hAnsi="Arial" w:cs="Arial"/>
        </w:rPr>
        <w:t xml:space="preserve">’s </w:t>
      </w:r>
      <w:r w:rsidR="00184813">
        <w:rPr>
          <w:rFonts w:ascii="Arial" w:hAnsi="Arial" w:cs="Arial"/>
        </w:rPr>
        <w:t xml:space="preserve">(PPIC) </w:t>
      </w:r>
      <w:r w:rsidR="00783292">
        <w:rPr>
          <w:rFonts w:ascii="Arial" w:hAnsi="Arial" w:cs="Arial"/>
        </w:rPr>
        <w:t xml:space="preserve">estimate of 2.875, which is based on analysis of tax returns.  Second, the Department of Homeland Security </w:t>
      </w:r>
      <w:r w:rsidR="00952190">
        <w:rPr>
          <w:rFonts w:ascii="Arial" w:hAnsi="Arial" w:cs="Arial"/>
        </w:rPr>
        <w:t xml:space="preserve">(DHS) </w:t>
      </w:r>
      <w:r w:rsidR="00C32B00">
        <w:rPr>
          <w:rFonts w:ascii="Arial" w:hAnsi="Arial" w:cs="Arial"/>
        </w:rPr>
        <w:t>estimated California’s 2011 undocumented immigrant population at 2.83 million.</w:t>
      </w:r>
      <w:r w:rsidR="00C32B00">
        <w:rPr>
          <w:rStyle w:val="FootnoteReference"/>
          <w:rFonts w:ascii="Arial" w:hAnsi="Arial" w:cs="Arial"/>
        </w:rPr>
        <w:footnoteReference w:id="12"/>
      </w:r>
    </w:p>
    <w:p w:rsidR="00FB6CF7" w:rsidRDefault="00FB6CF7" w:rsidP="003D05A9">
      <w:pPr>
        <w:spacing w:after="0" w:line="240" w:lineRule="auto"/>
        <w:rPr>
          <w:rFonts w:ascii="Arial" w:hAnsi="Arial" w:cs="Arial"/>
        </w:rPr>
      </w:pPr>
    </w:p>
    <w:p w:rsidR="00341BE6" w:rsidRDefault="00341BE6" w:rsidP="003D05A9">
      <w:pPr>
        <w:spacing w:after="0" w:line="240" w:lineRule="auto"/>
        <w:rPr>
          <w:rFonts w:ascii="Arial" w:hAnsi="Arial" w:cs="Arial"/>
        </w:rPr>
      </w:pPr>
    </w:p>
    <w:p w:rsidR="00341BE6" w:rsidRDefault="00341BE6" w:rsidP="003D05A9">
      <w:pPr>
        <w:spacing w:after="0" w:line="240" w:lineRule="auto"/>
        <w:rPr>
          <w:rFonts w:ascii="Arial" w:hAnsi="Arial" w:cs="Arial"/>
        </w:rPr>
      </w:pPr>
    </w:p>
    <w:p w:rsidR="00341BE6" w:rsidRDefault="00341BE6" w:rsidP="003D05A9">
      <w:pPr>
        <w:spacing w:after="0" w:line="240" w:lineRule="auto"/>
        <w:rPr>
          <w:rFonts w:ascii="Arial" w:hAnsi="Arial" w:cs="Arial"/>
        </w:rPr>
      </w:pPr>
    </w:p>
    <w:p w:rsidR="00341BE6" w:rsidRDefault="00341BE6" w:rsidP="003D05A9">
      <w:pPr>
        <w:spacing w:after="0" w:line="240" w:lineRule="auto"/>
        <w:rPr>
          <w:rFonts w:ascii="Arial" w:hAnsi="Arial" w:cs="Arial"/>
        </w:rPr>
      </w:pPr>
    </w:p>
    <w:p w:rsidR="00341BE6" w:rsidRDefault="00341BE6" w:rsidP="003D05A9">
      <w:pPr>
        <w:spacing w:after="0" w:line="240" w:lineRule="auto"/>
        <w:rPr>
          <w:rFonts w:ascii="Arial" w:hAnsi="Arial" w:cs="Arial"/>
        </w:rPr>
      </w:pPr>
    </w:p>
    <w:p w:rsidR="00783292" w:rsidRPr="00764BBF" w:rsidRDefault="00136521" w:rsidP="004A59F5">
      <w:pPr>
        <w:spacing w:after="0" w:line="240" w:lineRule="auto"/>
        <w:ind w:left="720" w:right="2340"/>
        <w:rPr>
          <w:rFonts w:ascii="Arial" w:hAnsi="Arial" w:cs="Arial"/>
          <w:b/>
          <w:color w:val="FF0000"/>
        </w:rPr>
      </w:pPr>
      <w:r>
        <w:rPr>
          <w:rFonts w:ascii="Arial" w:hAnsi="Arial" w:cs="Arial"/>
          <w:b/>
        </w:rPr>
        <w:lastRenderedPageBreak/>
        <w:t xml:space="preserve">Table 3.  </w:t>
      </w:r>
      <w:r w:rsidR="00536B0E">
        <w:rPr>
          <w:rFonts w:ascii="Arial" w:hAnsi="Arial" w:cs="Arial"/>
          <w:b/>
        </w:rPr>
        <w:t>Estimated number of undocumented immigrants for the ten counties with the largest CCO populations, 2011</w:t>
      </w:r>
      <w:r w:rsidR="00764BBF">
        <w:rPr>
          <w:rFonts w:ascii="Arial" w:hAnsi="Arial" w:cs="Arial"/>
          <w:b/>
        </w:rPr>
        <w:t xml:space="preserve"> </w:t>
      </w:r>
    </w:p>
    <w:tbl>
      <w:tblPr>
        <w:tblStyle w:val="TableGrid"/>
        <w:tblW w:w="6840" w:type="dxa"/>
        <w:tblInd w:w="828" w:type="dxa"/>
        <w:tblLook w:val="04A0" w:firstRow="1" w:lastRow="0" w:firstColumn="1" w:lastColumn="0" w:noHBand="0" w:noVBand="1"/>
      </w:tblPr>
      <w:tblGrid>
        <w:gridCol w:w="2700"/>
        <w:gridCol w:w="2160"/>
        <w:gridCol w:w="1980"/>
      </w:tblGrid>
      <w:tr w:rsidR="00783292" w:rsidRPr="003D05A9" w:rsidTr="004A59F5">
        <w:tc>
          <w:tcPr>
            <w:tcW w:w="2700" w:type="dxa"/>
          </w:tcPr>
          <w:p w:rsidR="00783292" w:rsidRPr="003D05A9" w:rsidRDefault="00783292" w:rsidP="00116893">
            <w:pPr>
              <w:jc w:val="center"/>
              <w:rPr>
                <w:rFonts w:ascii="Arial" w:hAnsi="Arial" w:cs="Arial"/>
                <w:b/>
              </w:rPr>
            </w:pPr>
            <w:r w:rsidRPr="003D05A9">
              <w:rPr>
                <w:rFonts w:ascii="Arial" w:hAnsi="Arial" w:cs="Arial"/>
                <w:b/>
              </w:rPr>
              <w:t>County</w:t>
            </w:r>
          </w:p>
        </w:tc>
        <w:tc>
          <w:tcPr>
            <w:tcW w:w="2160" w:type="dxa"/>
          </w:tcPr>
          <w:p w:rsidR="00783292" w:rsidRPr="003D05A9" w:rsidRDefault="00536B0E" w:rsidP="003D05A9">
            <w:pPr>
              <w:jc w:val="center"/>
              <w:rPr>
                <w:rFonts w:ascii="Arial" w:hAnsi="Arial" w:cs="Arial"/>
                <w:b/>
              </w:rPr>
            </w:pPr>
            <w:r w:rsidRPr="003D05A9">
              <w:rPr>
                <w:rFonts w:ascii="Arial" w:hAnsi="Arial" w:cs="Arial"/>
                <w:b/>
              </w:rPr>
              <w:t>CDSS, Child-Only Methodology</w:t>
            </w:r>
          </w:p>
        </w:tc>
        <w:tc>
          <w:tcPr>
            <w:tcW w:w="1980" w:type="dxa"/>
          </w:tcPr>
          <w:p w:rsidR="00783292" w:rsidRPr="003D05A9" w:rsidRDefault="00536B0E" w:rsidP="003D05A9">
            <w:pPr>
              <w:jc w:val="center"/>
              <w:rPr>
                <w:rFonts w:ascii="Arial" w:hAnsi="Arial" w:cs="Arial"/>
                <w:b/>
              </w:rPr>
            </w:pPr>
            <w:r w:rsidRPr="003D05A9">
              <w:rPr>
                <w:rFonts w:ascii="Arial" w:hAnsi="Arial" w:cs="Arial"/>
                <w:b/>
              </w:rPr>
              <w:t>PPIC</w:t>
            </w:r>
          </w:p>
        </w:tc>
      </w:tr>
      <w:tr w:rsidR="00783292" w:rsidTr="004A59F5">
        <w:tc>
          <w:tcPr>
            <w:tcW w:w="2700" w:type="dxa"/>
          </w:tcPr>
          <w:p w:rsidR="00783292" w:rsidRDefault="00536B0E" w:rsidP="002C2C48">
            <w:pPr>
              <w:rPr>
                <w:rFonts w:ascii="Arial" w:hAnsi="Arial" w:cs="Arial"/>
              </w:rPr>
            </w:pPr>
            <w:r>
              <w:rPr>
                <w:rFonts w:ascii="Arial" w:hAnsi="Arial" w:cs="Arial"/>
              </w:rPr>
              <w:t>Los Angeles</w:t>
            </w:r>
          </w:p>
        </w:tc>
        <w:tc>
          <w:tcPr>
            <w:tcW w:w="2160" w:type="dxa"/>
            <w:vAlign w:val="bottom"/>
          </w:tcPr>
          <w:p w:rsidR="00783292" w:rsidRDefault="00536B0E" w:rsidP="00536B0E">
            <w:pPr>
              <w:jc w:val="right"/>
              <w:rPr>
                <w:rFonts w:ascii="Arial" w:hAnsi="Arial" w:cs="Arial"/>
              </w:rPr>
            </w:pPr>
            <w:r>
              <w:rPr>
                <w:rFonts w:ascii="Arial" w:hAnsi="Arial" w:cs="Arial"/>
              </w:rPr>
              <w:t>964,501</w:t>
            </w:r>
          </w:p>
        </w:tc>
        <w:tc>
          <w:tcPr>
            <w:tcW w:w="1980" w:type="dxa"/>
            <w:vAlign w:val="bottom"/>
          </w:tcPr>
          <w:p w:rsidR="00783292" w:rsidRDefault="00536B0E" w:rsidP="00536B0E">
            <w:pPr>
              <w:jc w:val="right"/>
              <w:rPr>
                <w:rFonts w:ascii="Arial" w:hAnsi="Arial" w:cs="Arial"/>
              </w:rPr>
            </w:pPr>
            <w:r>
              <w:rPr>
                <w:rFonts w:ascii="Arial" w:hAnsi="Arial" w:cs="Arial"/>
              </w:rPr>
              <w:t>916,000</w:t>
            </w:r>
          </w:p>
        </w:tc>
      </w:tr>
      <w:tr w:rsidR="00783292" w:rsidTr="004A59F5">
        <w:tc>
          <w:tcPr>
            <w:tcW w:w="2700" w:type="dxa"/>
          </w:tcPr>
          <w:p w:rsidR="00783292" w:rsidRDefault="00536B0E" w:rsidP="002C2C48">
            <w:pPr>
              <w:rPr>
                <w:rFonts w:ascii="Arial" w:hAnsi="Arial" w:cs="Arial"/>
              </w:rPr>
            </w:pPr>
            <w:r>
              <w:rPr>
                <w:rFonts w:ascii="Arial" w:hAnsi="Arial" w:cs="Arial"/>
              </w:rPr>
              <w:t>Orange</w:t>
            </w:r>
          </w:p>
        </w:tc>
        <w:tc>
          <w:tcPr>
            <w:tcW w:w="2160" w:type="dxa"/>
            <w:vAlign w:val="bottom"/>
          </w:tcPr>
          <w:p w:rsidR="00783292" w:rsidRDefault="00536B0E" w:rsidP="00536B0E">
            <w:pPr>
              <w:jc w:val="right"/>
              <w:rPr>
                <w:rFonts w:ascii="Arial" w:hAnsi="Arial" w:cs="Arial"/>
              </w:rPr>
            </w:pPr>
            <w:r>
              <w:rPr>
                <w:rFonts w:ascii="Arial" w:hAnsi="Arial" w:cs="Arial"/>
              </w:rPr>
              <w:t>258,774</w:t>
            </w:r>
          </w:p>
        </w:tc>
        <w:tc>
          <w:tcPr>
            <w:tcW w:w="1980" w:type="dxa"/>
            <w:vAlign w:val="bottom"/>
          </w:tcPr>
          <w:p w:rsidR="00783292" w:rsidRDefault="00536B0E" w:rsidP="00536B0E">
            <w:pPr>
              <w:jc w:val="right"/>
              <w:rPr>
                <w:rFonts w:ascii="Arial" w:hAnsi="Arial" w:cs="Arial"/>
              </w:rPr>
            </w:pPr>
            <w:r>
              <w:rPr>
                <w:rFonts w:ascii="Arial" w:hAnsi="Arial" w:cs="Arial"/>
              </w:rPr>
              <w:t>289,000</w:t>
            </w:r>
          </w:p>
        </w:tc>
      </w:tr>
      <w:tr w:rsidR="00783292" w:rsidTr="004A59F5">
        <w:tc>
          <w:tcPr>
            <w:tcW w:w="2700" w:type="dxa"/>
          </w:tcPr>
          <w:p w:rsidR="00783292" w:rsidRDefault="00536B0E" w:rsidP="002C2C48">
            <w:pPr>
              <w:rPr>
                <w:rFonts w:ascii="Arial" w:hAnsi="Arial" w:cs="Arial"/>
              </w:rPr>
            </w:pPr>
            <w:r>
              <w:rPr>
                <w:rFonts w:ascii="Arial" w:hAnsi="Arial" w:cs="Arial"/>
              </w:rPr>
              <w:t>San Bernardino</w:t>
            </w:r>
          </w:p>
        </w:tc>
        <w:tc>
          <w:tcPr>
            <w:tcW w:w="2160" w:type="dxa"/>
            <w:vAlign w:val="bottom"/>
          </w:tcPr>
          <w:p w:rsidR="00783292" w:rsidRDefault="00536B0E" w:rsidP="00536B0E">
            <w:pPr>
              <w:jc w:val="right"/>
              <w:rPr>
                <w:rFonts w:ascii="Arial" w:hAnsi="Arial" w:cs="Arial"/>
              </w:rPr>
            </w:pPr>
            <w:r>
              <w:rPr>
                <w:rFonts w:ascii="Arial" w:hAnsi="Arial" w:cs="Arial"/>
              </w:rPr>
              <w:t>179,320</w:t>
            </w:r>
          </w:p>
        </w:tc>
        <w:tc>
          <w:tcPr>
            <w:tcW w:w="1980" w:type="dxa"/>
            <w:vAlign w:val="bottom"/>
          </w:tcPr>
          <w:p w:rsidR="00783292" w:rsidRDefault="00536B0E" w:rsidP="00536B0E">
            <w:pPr>
              <w:jc w:val="right"/>
              <w:rPr>
                <w:rFonts w:ascii="Arial" w:hAnsi="Arial" w:cs="Arial"/>
              </w:rPr>
            </w:pPr>
            <w:r>
              <w:rPr>
                <w:rFonts w:ascii="Arial" w:hAnsi="Arial" w:cs="Arial"/>
              </w:rPr>
              <w:t>150,000</w:t>
            </w:r>
          </w:p>
        </w:tc>
      </w:tr>
      <w:tr w:rsidR="00783292" w:rsidTr="004A59F5">
        <w:tc>
          <w:tcPr>
            <w:tcW w:w="2700" w:type="dxa"/>
          </w:tcPr>
          <w:p w:rsidR="00783292" w:rsidRDefault="00536B0E" w:rsidP="002C2C48">
            <w:pPr>
              <w:rPr>
                <w:rFonts w:ascii="Arial" w:hAnsi="Arial" w:cs="Arial"/>
              </w:rPr>
            </w:pPr>
            <w:r>
              <w:rPr>
                <w:rFonts w:ascii="Arial" w:hAnsi="Arial" w:cs="Arial"/>
              </w:rPr>
              <w:t>San Diego</w:t>
            </w:r>
          </w:p>
        </w:tc>
        <w:tc>
          <w:tcPr>
            <w:tcW w:w="2160" w:type="dxa"/>
            <w:vAlign w:val="bottom"/>
          </w:tcPr>
          <w:p w:rsidR="00783292" w:rsidRDefault="00536B0E" w:rsidP="00536B0E">
            <w:pPr>
              <w:jc w:val="right"/>
              <w:rPr>
                <w:rFonts w:ascii="Arial" w:hAnsi="Arial" w:cs="Arial"/>
              </w:rPr>
            </w:pPr>
            <w:r>
              <w:rPr>
                <w:rFonts w:ascii="Arial" w:hAnsi="Arial" w:cs="Arial"/>
              </w:rPr>
              <w:t>156,366</w:t>
            </w:r>
          </w:p>
        </w:tc>
        <w:tc>
          <w:tcPr>
            <w:tcW w:w="1980" w:type="dxa"/>
            <w:vAlign w:val="bottom"/>
          </w:tcPr>
          <w:p w:rsidR="00783292" w:rsidRDefault="00536B0E" w:rsidP="00536B0E">
            <w:pPr>
              <w:jc w:val="right"/>
              <w:rPr>
                <w:rFonts w:ascii="Arial" w:hAnsi="Arial" w:cs="Arial"/>
              </w:rPr>
            </w:pPr>
            <w:r>
              <w:rPr>
                <w:rFonts w:ascii="Arial" w:hAnsi="Arial" w:cs="Arial"/>
              </w:rPr>
              <w:t>198,000</w:t>
            </w:r>
          </w:p>
        </w:tc>
      </w:tr>
      <w:tr w:rsidR="00783292" w:rsidTr="004A59F5">
        <w:tc>
          <w:tcPr>
            <w:tcW w:w="2700" w:type="dxa"/>
          </w:tcPr>
          <w:p w:rsidR="00783292" w:rsidRDefault="00536B0E" w:rsidP="002C2C48">
            <w:pPr>
              <w:rPr>
                <w:rFonts w:ascii="Arial" w:hAnsi="Arial" w:cs="Arial"/>
              </w:rPr>
            </w:pPr>
            <w:r>
              <w:rPr>
                <w:rFonts w:ascii="Arial" w:hAnsi="Arial" w:cs="Arial"/>
              </w:rPr>
              <w:t>Riverside</w:t>
            </w:r>
          </w:p>
        </w:tc>
        <w:tc>
          <w:tcPr>
            <w:tcW w:w="2160" w:type="dxa"/>
            <w:vAlign w:val="bottom"/>
          </w:tcPr>
          <w:p w:rsidR="00783292" w:rsidRDefault="00536B0E" w:rsidP="00536B0E">
            <w:pPr>
              <w:jc w:val="right"/>
              <w:rPr>
                <w:rFonts w:ascii="Arial" w:hAnsi="Arial" w:cs="Arial"/>
              </w:rPr>
            </w:pPr>
            <w:r>
              <w:rPr>
                <w:rFonts w:ascii="Arial" w:hAnsi="Arial" w:cs="Arial"/>
              </w:rPr>
              <w:t>154,095</w:t>
            </w:r>
          </w:p>
        </w:tc>
        <w:tc>
          <w:tcPr>
            <w:tcW w:w="1980" w:type="dxa"/>
            <w:vAlign w:val="bottom"/>
          </w:tcPr>
          <w:p w:rsidR="00783292" w:rsidRDefault="00536B0E" w:rsidP="00536B0E">
            <w:pPr>
              <w:jc w:val="right"/>
              <w:rPr>
                <w:rFonts w:ascii="Arial" w:hAnsi="Arial" w:cs="Arial"/>
              </w:rPr>
            </w:pPr>
            <w:r>
              <w:rPr>
                <w:rFonts w:ascii="Arial" w:hAnsi="Arial" w:cs="Arial"/>
              </w:rPr>
              <w:t>146,000</w:t>
            </w:r>
          </w:p>
        </w:tc>
      </w:tr>
      <w:tr w:rsidR="00783292" w:rsidTr="004A59F5">
        <w:tc>
          <w:tcPr>
            <w:tcW w:w="2700" w:type="dxa"/>
          </w:tcPr>
          <w:p w:rsidR="00783292" w:rsidRDefault="00536B0E" w:rsidP="002C2C48">
            <w:pPr>
              <w:rPr>
                <w:rFonts w:ascii="Arial" w:hAnsi="Arial" w:cs="Arial"/>
              </w:rPr>
            </w:pPr>
            <w:r>
              <w:rPr>
                <w:rFonts w:ascii="Arial" w:hAnsi="Arial" w:cs="Arial"/>
              </w:rPr>
              <w:t>Fresno</w:t>
            </w:r>
          </w:p>
        </w:tc>
        <w:tc>
          <w:tcPr>
            <w:tcW w:w="2160" w:type="dxa"/>
            <w:vAlign w:val="bottom"/>
          </w:tcPr>
          <w:p w:rsidR="00783292" w:rsidRDefault="00536B0E" w:rsidP="00536B0E">
            <w:pPr>
              <w:jc w:val="right"/>
              <w:rPr>
                <w:rFonts w:ascii="Arial" w:hAnsi="Arial" w:cs="Arial"/>
              </w:rPr>
            </w:pPr>
            <w:r>
              <w:rPr>
                <w:rFonts w:ascii="Arial" w:hAnsi="Arial" w:cs="Arial"/>
              </w:rPr>
              <w:t>84,858</w:t>
            </w:r>
          </w:p>
        </w:tc>
        <w:tc>
          <w:tcPr>
            <w:tcW w:w="1980" w:type="dxa"/>
            <w:vAlign w:val="bottom"/>
          </w:tcPr>
          <w:p w:rsidR="00783292" w:rsidRDefault="00536B0E" w:rsidP="00536B0E">
            <w:pPr>
              <w:jc w:val="right"/>
              <w:rPr>
                <w:rFonts w:ascii="Arial" w:hAnsi="Arial" w:cs="Arial"/>
              </w:rPr>
            </w:pPr>
            <w:r>
              <w:rPr>
                <w:rFonts w:ascii="Arial" w:hAnsi="Arial" w:cs="Arial"/>
              </w:rPr>
              <w:t>49,000</w:t>
            </w:r>
          </w:p>
        </w:tc>
      </w:tr>
      <w:tr w:rsidR="00783292" w:rsidTr="004A59F5">
        <w:tc>
          <w:tcPr>
            <w:tcW w:w="2700" w:type="dxa"/>
          </w:tcPr>
          <w:p w:rsidR="00783292" w:rsidRDefault="00536B0E" w:rsidP="002C2C48">
            <w:pPr>
              <w:rPr>
                <w:rFonts w:ascii="Arial" w:hAnsi="Arial" w:cs="Arial"/>
              </w:rPr>
            </w:pPr>
            <w:r>
              <w:rPr>
                <w:rFonts w:ascii="Arial" w:hAnsi="Arial" w:cs="Arial"/>
              </w:rPr>
              <w:t>Santa Clara</w:t>
            </w:r>
          </w:p>
        </w:tc>
        <w:tc>
          <w:tcPr>
            <w:tcW w:w="2160" w:type="dxa"/>
            <w:vAlign w:val="bottom"/>
          </w:tcPr>
          <w:p w:rsidR="00783292" w:rsidRDefault="00536B0E" w:rsidP="00536B0E">
            <w:pPr>
              <w:jc w:val="right"/>
              <w:rPr>
                <w:rFonts w:ascii="Arial" w:hAnsi="Arial" w:cs="Arial"/>
              </w:rPr>
            </w:pPr>
            <w:r>
              <w:rPr>
                <w:rFonts w:ascii="Arial" w:hAnsi="Arial" w:cs="Arial"/>
              </w:rPr>
              <w:t>117,211</w:t>
            </w:r>
          </w:p>
        </w:tc>
        <w:tc>
          <w:tcPr>
            <w:tcW w:w="1980" w:type="dxa"/>
            <w:vAlign w:val="bottom"/>
          </w:tcPr>
          <w:p w:rsidR="00783292" w:rsidRDefault="00536B0E" w:rsidP="00536B0E">
            <w:pPr>
              <w:jc w:val="right"/>
              <w:rPr>
                <w:rFonts w:ascii="Arial" w:hAnsi="Arial" w:cs="Arial"/>
              </w:rPr>
            </w:pPr>
            <w:r>
              <w:rPr>
                <w:rFonts w:ascii="Arial" w:hAnsi="Arial" w:cs="Arial"/>
              </w:rPr>
              <w:t>180,000</w:t>
            </w:r>
          </w:p>
        </w:tc>
      </w:tr>
      <w:tr w:rsidR="00536B0E" w:rsidTr="004A59F5">
        <w:tc>
          <w:tcPr>
            <w:tcW w:w="2700" w:type="dxa"/>
          </w:tcPr>
          <w:p w:rsidR="00536B0E" w:rsidRDefault="00536B0E" w:rsidP="002C2C48">
            <w:pPr>
              <w:rPr>
                <w:rFonts w:ascii="Arial" w:hAnsi="Arial" w:cs="Arial"/>
              </w:rPr>
            </w:pPr>
            <w:r>
              <w:rPr>
                <w:rFonts w:ascii="Arial" w:hAnsi="Arial" w:cs="Arial"/>
              </w:rPr>
              <w:t>Kern</w:t>
            </w:r>
          </w:p>
        </w:tc>
        <w:tc>
          <w:tcPr>
            <w:tcW w:w="2160" w:type="dxa"/>
            <w:vAlign w:val="bottom"/>
          </w:tcPr>
          <w:p w:rsidR="00536B0E" w:rsidRDefault="00536B0E" w:rsidP="00536B0E">
            <w:pPr>
              <w:jc w:val="right"/>
              <w:rPr>
                <w:rFonts w:ascii="Arial" w:hAnsi="Arial" w:cs="Arial"/>
              </w:rPr>
            </w:pPr>
            <w:r>
              <w:rPr>
                <w:rFonts w:ascii="Arial" w:hAnsi="Arial" w:cs="Arial"/>
              </w:rPr>
              <w:t>72,614</w:t>
            </w:r>
          </w:p>
        </w:tc>
        <w:tc>
          <w:tcPr>
            <w:tcW w:w="1980" w:type="dxa"/>
            <w:vAlign w:val="bottom"/>
          </w:tcPr>
          <w:p w:rsidR="00536B0E" w:rsidRDefault="004A59F5" w:rsidP="00536B0E">
            <w:pPr>
              <w:jc w:val="right"/>
              <w:rPr>
                <w:rFonts w:ascii="Arial" w:hAnsi="Arial" w:cs="Arial"/>
              </w:rPr>
            </w:pPr>
            <w:r>
              <w:rPr>
                <w:rFonts w:ascii="Arial" w:hAnsi="Arial" w:cs="Arial"/>
              </w:rPr>
              <w:t>46</w:t>
            </w:r>
            <w:r w:rsidR="00536B0E">
              <w:rPr>
                <w:rFonts w:ascii="Arial" w:hAnsi="Arial" w:cs="Arial"/>
              </w:rPr>
              <w:t>,000</w:t>
            </w:r>
          </w:p>
        </w:tc>
      </w:tr>
      <w:tr w:rsidR="00536B0E" w:rsidTr="004A59F5">
        <w:tc>
          <w:tcPr>
            <w:tcW w:w="2700" w:type="dxa"/>
          </w:tcPr>
          <w:p w:rsidR="00536B0E" w:rsidRDefault="00536B0E" w:rsidP="002C2C48">
            <w:pPr>
              <w:rPr>
                <w:rFonts w:ascii="Arial" w:hAnsi="Arial" w:cs="Arial"/>
              </w:rPr>
            </w:pPr>
            <w:r>
              <w:rPr>
                <w:rFonts w:ascii="Arial" w:hAnsi="Arial" w:cs="Arial"/>
              </w:rPr>
              <w:t>Sacramento</w:t>
            </w:r>
          </w:p>
        </w:tc>
        <w:tc>
          <w:tcPr>
            <w:tcW w:w="2160" w:type="dxa"/>
            <w:vAlign w:val="bottom"/>
          </w:tcPr>
          <w:p w:rsidR="00536B0E" w:rsidRDefault="00536B0E" w:rsidP="00536B0E">
            <w:pPr>
              <w:jc w:val="right"/>
              <w:rPr>
                <w:rFonts w:ascii="Arial" w:hAnsi="Arial" w:cs="Arial"/>
              </w:rPr>
            </w:pPr>
            <w:r>
              <w:rPr>
                <w:rFonts w:ascii="Arial" w:hAnsi="Arial" w:cs="Arial"/>
              </w:rPr>
              <w:t>97,995</w:t>
            </w:r>
          </w:p>
        </w:tc>
        <w:tc>
          <w:tcPr>
            <w:tcW w:w="1980" w:type="dxa"/>
            <w:vAlign w:val="bottom"/>
          </w:tcPr>
          <w:p w:rsidR="00536B0E" w:rsidRDefault="00536B0E" w:rsidP="00536B0E">
            <w:pPr>
              <w:jc w:val="right"/>
              <w:rPr>
                <w:rFonts w:ascii="Arial" w:hAnsi="Arial" w:cs="Arial"/>
              </w:rPr>
            </w:pPr>
            <w:r>
              <w:rPr>
                <w:rFonts w:ascii="Arial" w:hAnsi="Arial" w:cs="Arial"/>
              </w:rPr>
              <w:t>65,000</w:t>
            </w:r>
          </w:p>
        </w:tc>
      </w:tr>
      <w:tr w:rsidR="00536B0E" w:rsidTr="004A59F5">
        <w:tc>
          <w:tcPr>
            <w:tcW w:w="2700" w:type="dxa"/>
          </w:tcPr>
          <w:p w:rsidR="00536B0E" w:rsidRDefault="00536B0E" w:rsidP="002C2C48">
            <w:pPr>
              <w:rPr>
                <w:rFonts w:ascii="Arial" w:hAnsi="Arial" w:cs="Arial"/>
              </w:rPr>
            </w:pPr>
            <w:r>
              <w:rPr>
                <w:rFonts w:ascii="Arial" w:hAnsi="Arial" w:cs="Arial"/>
              </w:rPr>
              <w:t>Alameda</w:t>
            </w:r>
          </w:p>
        </w:tc>
        <w:tc>
          <w:tcPr>
            <w:tcW w:w="2160" w:type="dxa"/>
            <w:vAlign w:val="bottom"/>
          </w:tcPr>
          <w:p w:rsidR="00536B0E" w:rsidRDefault="00536B0E" w:rsidP="00536B0E">
            <w:pPr>
              <w:jc w:val="right"/>
              <w:rPr>
                <w:rFonts w:ascii="Arial" w:hAnsi="Arial" w:cs="Arial"/>
              </w:rPr>
            </w:pPr>
            <w:r>
              <w:rPr>
                <w:rFonts w:ascii="Arial" w:hAnsi="Arial" w:cs="Arial"/>
              </w:rPr>
              <w:t>94,062</w:t>
            </w:r>
          </w:p>
        </w:tc>
        <w:tc>
          <w:tcPr>
            <w:tcW w:w="1980" w:type="dxa"/>
            <w:vAlign w:val="bottom"/>
          </w:tcPr>
          <w:p w:rsidR="00536B0E" w:rsidRDefault="00536B0E" w:rsidP="00536B0E">
            <w:pPr>
              <w:jc w:val="right"/>
              <w:rPr>
                <w:rFonts w:ascii="Arial" w:hAnsi="Arial" w:cs="Arial"/>
              </w:rPr>
            </w:pPr>
            <w:r>
              <w:rPr>
                <w:rFonts w:ascii="Arial" w:hAnsi="Arial" w:cs="Arial"/>
              </w:rPr>
              <w:t>124,000</w:t>
            </w:r>
          </w:p>
        </w:tc>
      </w:tr>
      <w:tr w:rsidR="00536B0E" w:rsidTr="004A59F5">
        <w:tc>
          <w:tcPr>
            <w:tcW w:w="2700" w:type="dxa"/>
          </w:tcPr>
          <w:p w:rsidR="00536B0E" w:rsidRDefault="00536B0E" w:rsidP="002C2C48">
            <w:pPr>
              <w:rPr>
                <w:rFonts w:ascii="Arial" w:hAnsi="Arial" w:cs="Arial"/>
              </w:rPr>
            </w:pPr>
            <w:r>
              <w:rPr>
                <w:rFonts w:ascii="Arial" w:hAnsi="Arial" w:cs="Arial"/>
              </w:rPr>
              <w:t>Statewide total</w:t>
            </w:r>
          </w:p>
        </w:tc>
        <w:tc>
          <w:tcPr>
            <w:tcW w:w="2160" w:type="dxa"/>
            <w:vAlign w:val="bottom"/>
          </w:tcPr>
          <w:p w:rsidR="00536B0E" w:rsidRDefault="00536B0E" w:rsidP="00536B0E">
            <w:pPr>
              <w:jc w:val="right"/>
              <w:rPr>
                <w:rFonts w:ascii="Arial" w:hAnsi="Arial" w:cs="Arial"/>
              </w:rPr>
            </w:pPr>
            <w:r>
              <w:rPr>
                <w:rFonts w:ascii="Arial" w:hAnsi="Arial" w:cs="Arial"/>
              </w:rPr>
              <w:t>2,864,504</w:t>
            </w:r>
          </w:p>
        </w:tc>
        <w:tc>
          <w:tcPr>
            <w:tcW w:w="1980" w:type="dxa"/>
            <w:vAlign w:val="bottom"/>
          </w:tcPr>
          <w:p w:rsidR="00536B0E" w:rsidRDefault="004A59F5" w:rsidP="00536B0E">
            <w:pPr>
              <w:jc w:val="right"/>
              <w:rPr>
                <w:rFonts w:ascii="Arial" w:hAnsi="Arial" w:cs="Arial"/>
              </w:rPr>
            </w:pPr>
            <w:r>
              <w:rPr>
                <w:rFonts w:ascii="Arial" w:hAnsi="Arial" w:cs="Arial"/>
              </w:rPr>
              <w:t>2,876,0</w:t>
            </w:r>
            <w:r w:rsidR="00536B0E">
              <w:rPr>
                <w:rFonts w:ascii="Arial" w:hAnsi="Arial" w:cs="Arial"/>
              </w:rPr>
              <w:t>00</w:t>
            </w:r>
          </w:p>
        </w:tc>
      </w:tr>
    </w:tbl>
    <w:p w:rsidR="00783292" w:rsidRDefault="004A59F5" w:rsidP="004A59F5">
      <w:pPr>
        <w:spacing w:after="0"/>
        <w:ind w:left="720"/>
        <w:rPr>
          <w:rFonts w:ascii="Arial" w:hAnsi="Arial" w:cs="Arial"/>
        </w:rPr>
      </w:pPr>
      <w:r>
        <w:rPr>
          <w:rFonts w:ascii="Arial" w:hAnsi="Arial" w:cs="Arial"/>
        </w:rPr>
        <w:t>Source for PPIC data:  Hill and Johnson 2011, pp. 16-17.</w:t>
      </w:r>
    </w:p>
    <w:p w:rsidR="004A59F5" w:rsidRPr="00011F4E" w:rsidRDefault="004A59F5" w:rsidP="002C2C48">
      <w:pPr>
        <w:spacing w:after="0"/>
        <w:rPr>
          <w:rFonts w:ascii="Arial" w:hAnsi="Arial" w:cs="Arial"/>
        </w:rPr>
      </w:pPr>
    </w:p>
    <w:p w:rsidR="0048273C" w:rsidRDefault="0048273C" w:rsidP="002C2C48">
      <w:pPr>
        <w:spacing w:after="0" w:line="240" w:lineRule="auto"/>
        <w:contextualSpacing/>
        <w:rPr>
          <w:rFonts w:ascii="Arial" w:eastAsiaTheme="minorEastAsia" w:hAnsi="Arial" w:cs="Arial"/>
          <w:b/>
          <w:color w:val="000000" w:themeColor="text1"/>
          <w:kern w:val="24"/>
        </w:rPr>
      </w:pPr>
    </w:p>
    <w:p w:rsidR="00263619" w:rsidRDefault="00263619" w:rsidP="002C2C48">
      <w:pPr>
        <w:spacing w:after="0" w:line="240" w:lineRule="auto"/>
        <w:contextualSpacing/>
        <w:rPr>
          <w:rFonts w:ascii="Arial" w:eastAsiaTheme="minorEastAsia" w:hAnsi="Arial" w:cs="Arial"/>
          <w:b/>
          <w:color w:val="000000" w:themeColor="text1"/>
          <w:kern w:val="24"/>
        </w:rPr>
      </w:pPr>
    </w:p>
    <w:p w:rsidR="002C2C48" w:rsidRPr="00147B57" w:rsidRDefault="002C2C48" w:rsidP="002C2C48">
      <w:pPr>
        <w:spacing w:after="0" w:line="240" w:lineRule="auto"/>
        <w:contextualSpacing/>
        <w:rPr>
          <w:rFonts w:ascii="Arial" w:eastAsiaTheme="minorEastAsia" w:hAnsi="Arial" w:cs="Arial"/>
          <w:b/>
          <w:color w:val="FF0000"/>
          <w:kern w:val="24"/>
        </w:rPr>
      </w:pPr>
      <w:r w:rsidRPr="00A05E9D">
        <w:rPr>
          <w:rFonts w:ascii="Arial" w:eastAsiaTheme="minorEastAsia" w:hAnsi="Arial" w:cs="Arial"/>
          <w:b/>
          <w:color w:val="000000" w:themeColor="text1"/>
          <w:kern w:val="24"/>
        </w:rPr>
        <w:t xml:space="preserve">Limitations </w:t>
      </w:r>
      <w:r w:rsidR="005827AE">
        <w:rPr>
          <w:rFonts w:ascii="Arial" w:eastAsiaTheme="minorEastAsia" w:hAnsi="Arial" w:cs="Arial"/>
          <w:b/>
          <w:color w:val="000000" w:themeColor="text1"/>
          <w:kern w:val="24"/>
        </w:rPr>
        <w:t>of the PRI</w:t>
      </w:r>
      <w:r w:rsidR="00147B57">
        <w:rPr>
          <w:rFonts w:ascii="Arial" w:eastAsiaTheme="minorEastAsia" w:hAnsi="Arial" w:cs="Arial"/>
          <w:b/>
          <w:color w:val="000000" w:themeColor="text1"/>
          <w:kern w:val="24"/>
        </w:rPr>
        <w:t xml:space="preserve"> </w:t>
      </w:r>
    </w:p>
    <w:p w:rsidR="002C2C48" w:rsidRPr="00A05E9D" w:rsidRDefault="002C2C48" w:rsidP="002C2C48">
      <w:pPr>
        <w:spacing w:after="0" w:line="240" w:lineRule="auto"/>
        <w:contextualSpacing/>
        <w:rPr>
          <w:rFonts w:ascii="Arial" w:eastAsiaTheme="minorEastAsia" w:hAnsi="Arial" w:cs="Arial"/>
          <w:b/>
          <w:color w:val="000000" w:themeColor="text1"/>
          <w:kern w:val="24"/>
        </w:rPr>
      </w:pPr>
    </w:p>
    <w:p w:rsidR="001D70CB" w:rsidRDefault="00B1620C" w:rsidP="00B1620C">
      <w:pPr>
        <w:spacing w:after="0" w:line="240" w:lineRule="auto"/>
        <w:rPr>
          <w:rFonts w:ascii="Arial" w:eastAsia="Times New Roman" w:hAnsi="Arial" w:cs="Arial"/>
        </w:rPr>
      </w:pPr>
      <w:r>
        <w:rPr>
          <w:rFonts w:ascii="Arial" w:eastAsia="Times New Roman" w:hAnsi="Arial" w:cs="Arial"/>
        </w:rPr>
        <w:t xml:space="preserve">The </w:t>
      </w:r>
      <w:r w:rsidR="003F268C">
        <w:rPr>
          <w:rFonts w:ascii="Arial" w:eastAsia="Times New Roman" w:hAnsi="Arial" w:cs="Arial"/>
        </w:rPr>
        <w:t>reliability</w:t>
      </w:r>
      <w:r>
        <w:rPr>
          <w:rFonts w:ascii="Arial" w:eastAsia="Times New Roman" w:hAnsi="Arial" w:cs="Arial"/>
        </w:rPr>
        <w:t xml:space="preserve"> of the PRI </w:t>
      </w:r>
      <w:r w:rsidR="001306AA">
        <w:rPr>
          <w:rFonts w:ascii="Arial" w:eastAsia="Times New Roman" w:hAnsi="Arial" w:cs="Arial"/>
        </w:rPr>
        <w:t xml:space="preserve">is sensitive to the accuracy of address information in MEDS and </w:t>
      </w:r>
      <w:r w:rsidR="003F268C">
        <w:rPr>
          <w:rFonts w:ascii="Arial" w:eastAsia="Times New Roman" w:hAnsi="Arial" w:cs="Arial"/>
        </w:rPr>
        <w:t>of</w:t>
      </w:r>
      <w:r w:rsidR="001306AA">
        <w:rPr>
          <w:rFonts w:ascii="Arial" w:eastAsia="Times New Roman" w:hAnsi="Arial" w:cs="Arial"/>
        </w:rPr>
        <w:t xml:space="preserve"> </w:t>
      </w:r>
      <w:r w:rsidR="00BD724E">
        <w:rPr>
          <w:rFonts w:ascii="Arial" w:eastAsia="Times New Roman" w:hAnsi="Arial" w:cs="Arial"/>
        </w:rPr>
        <w:t>ACS est</w:t>
      </w:r>
      <w:r w:rsidR="00FB7FC7">
        <w:rPr>
          <w:rFonts w:ascii="Arial" w:eastAsia="Times New Roman" w:hAnsi="Arial" w:cs="Arial"/>
        </w:rPr>
        <w:t xml:space="preserve">imates of </w:t>
      </w:r>
      <w:r w:rsidR="001306AA">
        <w:rPr>
          <w:rFonts w:ascii="Arial" w:eastAsia="Times New Roman" w:hAnsi="Arial" w:cs="Arial"/>
        </w:rPr>
        <w:t>the number of individuals below 130 percent</w:t>
      </w:r>
      <w:r w:rsidR="00FB7FC7">
        <w:rPr>
          <w:rFonts w:ascii="Arial" w:eastAsia="Times New Roman" w:hAnsi="Arial" w:cs="Arial"/>
        </w:rPr>
        <w:t xml:space="preserve"> </w:t>
      </w:r>
      <w:r w:rsidR="00BD724E">
        <w:rPr>
          <w:rFonts w:ascii="Arial" w:eastAsia="Times New Roman" w:hAnsi="Arial" w:cs="Arial"/>
        </w:rPr>
        <w:t>of FPL at the selected geographic level.</w:t>
      </w:r>
      <w:r>
        <w:rPr>
          <w:rFonts w:ascii="Arial" w:eastAsia="Times New Roman" w:hAnsi="Arial" w:cs="Arial"/>
        </w:rPr>
        <w:t xml:space="preserve"> </w:t>
      </w:r>
    </w:p>
    <w:p w:rsidR="001D70CB" w:rsidRDefault="001D70CB" w:rsidP="00B1620C">
      <w:pPr>
        <w:spacing w:after="0" w:line="240" w:lineRule="auto"/>
        <w:rPr>
          <w:rFonts w:ascii="Arial" w:eastAsia="Times New Roman" w:hAnsi="Arial" w:cs="Arial"/>
        </w:rPr>
      </w:pPr>
    </w:p>
    <w:p w:rsidR="003F268C" w:rsidRDefault="001D70CB" w:rsidP="00B1620C">
      <w:pPr>
        <w:spacing w:after="0" w:line="240" w:lineRule="auto"/>
        <w:rPr>
          <w:rFonts w:ascii="Arial" w:eastAsia="Times New Roman" w:hAnsi="Arial" w:cs="Arial"/>
        </w:rPr>
      </w:pPr>
      <w:r>
        <w:rPr>
          <w:rFonts w:ascii="Arial" w:eastAsia="Times New Roman" w:hAnsi="Arial" w:cs="Arial"/>
          <w:i/>
        </w:rPr>
        <w:t>Address issues</w:t>
      </w:r>
      <w:r w:rsidR="00BD724E">
        <w:rPr>
          <w:rFonts w:ascii="Arial" w:eastAsia="Times New Roman" w:hAnsi="Arial" w:cs="Arial"/>
        </w:rPr>
        <w:t xml:space="preserve"> </w:t>
      </w:r>
    </w:p>
    <w:p w:rsidR="003F268C" w:rsidRDefault="003F268C" w:rsidP="00B1620C">
      <w:pPr>
        <w:spacing w:after="0" w:line="240" w:lineRule="auto"/>
        <w:rPr>
          <w:rFonts w:ascii="Arial" w:eastAsia="Times New Roman" w:hAnsi="Arial" w:cs="Arial"/>
        </w:rPr>
      </w:pPr>
    </w:p>
    <w:p w:rsidR="003F268C" w:rsidRDefault="00BD724E" w:rsidP="003F268C">
      <w:pPr>
        <w:numPr>
          <w:ilvl w:val="0"/>
          <w:numId w:val="21"/>
        </w:numPr>
        <w:spacing w:after="0" w:line="240" w:lineRule="auto"/>
        <w:ind w:left="360"/>
        <w:rPr>
          <w:rFonts w:ascii="Arial" w:eastAsiaTheme="minorEastAsia" w:hAnsi="Arial" w:cs="Arial"/>
          <w:color w:val="000000" w:themeColor="text1"/>
          <w:kern w:val="24"/>
        </w:rPr>
      </w:pPr>
      <w:r w:rsidRPr="003F268C">
        <w:rPr>
          <w:rFonts w:ascii="Arial" w:eastAsiaTheme="minorEastAsia" w:hAnsi="Arial" w:cs="Arial"/>
          <w:color w:val="000000" w:themeColor="text1"/>
          <w:kern w:val="24"/>
        </w:rPr>
        <w:t xml:space="preserve">In some </w:t>
      </w:r>
      <w:r w:rsidR="00FB7FC7" w:rsidRPr="003F268C">
        <w:rPr>
          <w:rFonts w:ascii="Arial" w:eastAsiaTheme="minorEastAsia" w:hAnsi="Arial" w:cs="Arial"/>
          <w:color w:val="000000" w:themeColor="text1"/>
          <w:kern w:val="24"/>
        </w:rPr>
        <w:t xml:space="preserve">rural </w:t>
      </w:r>
      <w:r w:rsidRPr="003F268C">
        <w:rPr>
          <w:rFonts w:ascii="Arial" w:eastAsiaTheme="minorEastAsia" w:hAnsi="Arial" w:cs="Arial"/>
          <w:color w:val="000000" w:themeColor="text1"/>
          <w:kern w:val="24"/>
        </w:rPr>
        <w:t xml:space="preserve">counties, substantial numbers of CalFresh recipients’ addresses in MEDS </w:t>
      </w:r>
      <w:r w:rsidR="003F268C">
        <w:rPr>
          <w:rFonts w:ascii="Arial" w:eastAsiaTheme="minorEastAsia" w:hAnsi="Arial" w:cs="Arial"/>
          <w:color w:val="000000" w:themeColor="text1"/>
          <w:kern w:val="24"/>
        </w:rPr>
        <w:t>are listed as Post O</w:t>
      </w:r>
      <w:r w:rsidRPr="003F268C">
        <w:rPr>
          <w:rFonts w:ascii="Arial" w:eastAsiaTheme="minorEastAsia" w:hAnsi="Arial" w:cs="Arial"/>
          <w:color w:val="000000" w:themeColor="text1"/>
          <w:kern w:val="24"/>
        </w:rPr>
        <w:t>ffice boxes</w:t>
      </w:r>
      <w:r w:rsidR="00FB7FC7" w:rsidRPr="003F268C">
        <w:rPr>
          <w:rFonts w:ascii="Arial" w:eastAsiaTheme="minorEastAsia" w:hAnsi="Arial" w:cs="Arial"/>
          <w:color w:val="000000" w:themeColor="text1"/>
          <w:kern w:val="24"/>
        </w:rPr>
        <w:t xml:space="preserve">; the recipient’s actual street location may be in another Census tract or Zip code.  </w:t>
      </w:r>
    </w:p>
    <w:p w:rsidR="003F268C" w:rsidRDefault="003F268C" w:rsidP="003F268C">
      <w:pPr>
        <w:spacing w:after="0" w:line="240" w:lineRule="auto"/>
        <w:ind w:left="360"/>
        <w:rPr>
          <w:rFonts w:ascii="Arial" w:eastAsiaTheme="minorEastAsia" w:hAnsi="Arial" w:cs="Arial"/>
          <w:color w:val="000000" w:themeColor="text1"/>
          <w:kern w:val="24"/>
        </w:rPr>
      </w:pPr>
    </w:p>
    <w:p w:rsidR="003F268C" w:rsidRPr="003F268C" w:rsidRDefault="003F268C" w:rsidP="003F268C">
      <w:pPr>
        <w:numPr>
          <w:ilvl w:val="0"/>
          <w:numId w:val="21"/>
        </w:numPr>
        <w:spacing w:after="0" w:line="240" w:lineRule="auto"/>
        <w:ind w:left="360"/>
        <w:contextualSpacing/>
        <w:rPr>
          <w:rFonts w:ascii="Arial" w:eastAsia="Times New Roman" w:hAnsi="Arial" w:cs="Arial"/>
        </w:rPr>
      </w:pPr>
      <w:r w:rsidRPr="00A05E9D">
        <w:rPr>
          <w:rFonts w:ascii="Arial" w:eastAsiaTheme="minorEastAsia" w:hAnsi="Arial" w:cs="Arial"/>
          <w:color w:val="000000" w:themeColor="text1"/>
          <w:kern w:val="24"/>
        </w:rPr>
        <w:t xml:space="preserve">A single address </w:t>
      </w:r>
      <w:r w:rsidR="00621F26">
        <w:rPr>
          <w:rFonts w:ascii="Arial" w:eastAsiaTheme="minorEastAsia" w:hAnsi="Arial" w:cs="Arial"/>
          <w:color w:val="000000" w:themeColor="text1"/>
          <w:kern w:val="24"/>
        </w:rPr>
        <w:t xml:space="preserve">such as a county welfare department </w:t>
      </w:r>
      <w:r>
        <w:rPr>
          <w:rFonts w:ascii="Arial" w:eastAsiaTheme="minorEastAsia" w:hAnsi="Arial" w:cs="Arial"/>
          <w:color w:val="000000" w:themeColor="text1"/>
          <w:kern w:val="24"/>
        </w:rPr>
        <w:t>may be</w:t>
      </w:r>
      <w:r w:rsidRPr="00A05E9D">
        <w:rPr>
          <w:rFonts w:ascii="Arial" w:eastAsiaTheme="minorEastAsia" w:hAnsi="Arial" w:cs="Arial"/>
          <w:color w:val="000000" w:themeColor="text1"/>
          <w:kern w:val="24"/>
        </w:rPr>
        <w:t xml:space="preserve"> used </w:t>
      </w:r>
      <w:r>
        <w:rPr>
          <w:rFonts w:ascii="Arial" w:eastAsiaTheme="minorEastAsia" w:hAnsi="Arial" w:cs="Arial"/>
          <w:color w:val="000000" w:themeColor="text1"/>
          <w:kern w:val="24"/>
        </w:rPr>
        <w:t>in MEDS for</w:t>
      </w:r>
      <w:r w:rsidRPr="00A05E9D">
        <w:rPr>
          <w:rFonts w:ascii="Arial" w:eastAsiaTheme="minorEastAsia" w:hAnsi="Arial" w:cs="Arial"/>
          <w:color w:val="000000" w:themeColor="text1"/>
          <w:kern w:val="24"/>
        </w:rPr>
        <w:t xml:space="preserve"> hundreds or thousands of beneficiaries</w:t>
      </w:r>
      <w:r w:rsidR="00621F26">
        <w:rPr>
          <w:rFonts w:ascii="Arial" w:eastAsiaTheme="minorEastAsia" w:hAnsi="Arial" w:cs="Arial"/>
          <w:color w:val="000000" w:themeColor="text1"/>
          <w:kern w:val="24"/>
        </w:rPr>
        <w:t xml:space="preserve"> who may be homeless or live some distance from the listed address.  For instance, more than</w:t>
      </w:r>
      <w:r w:rsidRPr="00A05E9D">
        <w:rPr>
          <w:rFonts w:ascii="Arial" w:eastAsiaTheme="minorEastAsia" w:hAnsi="Arial" w:cs="Arial"/>
          <w:color w:val="000000" w:themeColor="text1"/>
          <w:kern w:val="24"/>
        </w:rPr>
        <w:t xml:space="preserve"> 6</w:t>
      </w:r>
      <w:r>
        <w:rPr>
          <w:rFonts w:ascii="Arial" w:eastAsiaTheme="minorEastAsia" w:hAnsi="Arial" w:cs="Arial"/>
          <w:color w:val="000000" w:themeColor="text1"/>
          <w:kern w:val="24"/>
        </w:rPr>
        <w:t xml:space="preserve">,100 </w:t>
      </w:r>
      <w:r w:rsidR="00621F26">
        <w:rPr>
          <w:rFonts w:ascii="Arial" w:eastAsiaTheme="minorEastAsia" w:hAnsi="Arial" w:cs="Arial"/>
          <w:color w:val="000000" w:themeColor="text1"/>
          <w:kern w:val="24"/>
        </w:rPr>
        <w:t xml:space="preserve">CalFresh </w:t>
      </w:r>
      <w:r>
        <w:rPr>
          <w:rFonts w:ascii="Arial" w:eastAsiaTheme="minorEastAsia" w:hAnsi="Arial" w:cs="Arial"/>
          <w:color w:val="000000" w:themeColor="text1"/>
          <w:kern w:val="24"/>
        </w:rPr>
        <w:t xml:space="preserve">recipients </w:t>
      </w:r>
      <w:r w:rsidR="00621F26">
        <w:rPr>
          <w:rFonts w:ascii="Arial" w:eastAsiaTheme="minorEastAsia" w:hAnsi="Arial" w:cs="Arial"/>
          <w:color w:val="000000" w:themeColor="text1"/>
          <w:kern w:val="24"/>
        </w:rPr>
        <w:t>are reported at</w:t>
      </w:r>
      <w:r>
        <w:rPr>
          <w:rFonts w:ascii="Arial" w:eastAsiaTheme="minorEastAsia" w:hAnsi="Arial" w:cs="Arial"/>
          <w:color w:val="000000" w:themeColor="text1"/>
          <w:kern w:val="24"/>
        </w:rPr>
        <w:t xml:space="preserve"> one Los Angeles</w:t>
      </w:r>
      <w:r w:rsidRPr="00A05E9D">
        <w:rPr>
          <w:rFonts w:ascii="Arial" w:eastAsiaTheme="minorEastAsia" w:hAnsi="Arial" w:cs="Arial"/>
          <w:color w:val="000000" w:themeColor="text1"/>
          <w:kern w:val="24"/>
        </w:rPr>
        <w:t xml:space="preserve"> County address and </w:t>
      </w:r>
      <w:r w:rsidR="00FC78C4">
        <w:rPr>
          <w:rFonts w:ascii="Arial" w:eastAsiaTheme="minorEastAsia" w:hAnsi="Arial" w:cs="Arial"/>
          <w:color w:val="000000" w:themeColor="text1"/>
          <w:kern w:val="24"/>
        </w:rPr>
        <w:t xml:space="preserve">more than </w:t>
      </w:r>
      <w:r w:rsidRPr="00A05E9D">
        <w:rPr>
          <w:rFonts w:ascii="Arial" w:eastAsiaTheme="minorEastAsia" w:hAnsi="Arial" w:cs="Arial"/>
          <w:color w:val="000000" w:themeColor="text1"/>
          <w:kern w:val="24"/>
        </w:rPr>
        <w:t>5</w:t>
      </w:r>
      <w:r>
        <w:rPr>
          <w:rFonts w:ascii="Arial" w:eastAsiaTheme="minorEastAsia" w:hAnsi="Arial" w:cs="Arial"/>
          <w:color w:val="000000" w:themeColor="text1"/>
          <w:kern w:val="24"/>
        </w:rPr>
        <w:t>,</w:t>
      </w:r>
      <w:r w:rsidRPr="00A05E9D">
        <w:rPr>
          <w:rFonts w:ascii="Arial" w:eastAsiaTheme="minorEastAsia" w:hAnsi="Arial" w:cs="Arial"/>
          <w:color w:val="000000" w:themeColor="text1"/>
          <w:kern w:val="24"/>
        </w:rPr>
        <w:t xml:space="preserve">100 </w:t>
      </w:r>
      <w:r w:rsidR="00FC78C4">
        <w:rPr>
          <w:rFonts w:ascii="Arial" w:eastAsiaTheme="minorEastAsia" w:hAnsi="Arial" w:cs="Arial"/>
          <w:color w:val="000000" w:themeColor="text1"/>
          <w:kern w:val="24"/>
        </w:rPr>
        <w:t>are reported at a single Fresno County address</w:t>
      </w:r>
      <w:r w:rsidRPr="00A05E9D">
        <w:rPr>
          <w:rFonts w:ascii="Arial" w:eastAsiaTheme="minorEastAsia" w:hAnsi="Arial" w:cs="Arial"/>
          <w:color w:val="000000" w:themeColor="text1"/>
          <w:kern w:val="24"/>
        </w:rPr>
        <w:t xml:space="preserve">. </w:t>
      </w:r>
    </w:p>
    <w:p w:rsidR="003F268C" w:rsidRPr="00A05E9D" w:rsidRDefault="003F268C" w:rsidP="003F268C">
      <w:pPr>
        <w:spacing w:after="0" w:line="240" w:lineRule="auto"/>
        <w:contextualSpacing/>
        <w:rPr>
          <w:rFonts w:ascii="Arial" w:eastAsia="Times New Roman" w:hAnsi="Arial" w:cs="Arial"/>
        </w:rPr>
      </w:pPr>
      <w:r>
        <w:rPr>
          <w:rFonts w:ascii="Arial" w:eastAsiaTheme="minorEastAsia" w:hAnsi="Arial" w:cs="Arial"/>
          <w:color w:val="000000" w:themeColor="text1"/>
          <w:kern w:val="24"/>
        </w:rPr>
        <w:t xml:space="preserve"> </w:t>
      </w:r>
    </w:p>
    <w:p w:rsidR="001D70CB" w:rsidRDefault="00FB7FC7" w:rsidP="00952190">
      <w:pPr>
        <w:numPr>
          <w:ilvl w:val="0"/>
          <w:numId w:val="21"/>
        </w:numPr>
        <w:spacing w:after="0" w:line="240" w:lineRule="auto"/>
        <w:ind w:left="360"/>
        <w:contextualSpacing/>
        <w:rPr>
          <w:rFonts w:ascii="Arial" w:eastAsiaTheme="minorEastAsia" w:hAnsi="Arial" w:cs="Arial"/>
          <w:color w:val="000000" w:themeColor="text1"/>
          <w:kern w:val="24"/>
        </w:rPr>
      </w:pPr>
      <w:r w:rsidRPr="003F268C">
        <w:rPr>
          <w:rFonts w:ascii="Arial" w:eastAsiaTheme="minorEastAsia" w:hAnsi="Arial" w:cs="Arial"/>
          <w:color w:val="000000" w:themeColor="text1"/>
          <w:kern w:val="24"/>
        </w:rPr>
        <w:t>Some MEDS addresses cannot be matched to the geocode database due to data entry errors.</w:t>
      </w:r>
    </w:p>
    <w:p w:rsidR="00952190" w:rsidRPr="00952190" w:rsidRDefault="00952190" w:rsidP="00952190">
      <w:pPr>
        <w:spacing w:after="0" w:line="240" w:lineRule="auto"/>
        <w:rPr>
          <w:rFonts w:ascii="Arial" w:eastAsiaTheme="minorEastAsia" w:hAnsi="Arial" w:cs="Arial"/>
          <w:color w:val="000000" w:themeColor="text1"/>
          <w:kern w:val="24"/>
        </w:rPr>
      </w:pPr>
    </w:p>
    <w:p w:rsidR="001D70CB" w:rsidRPr="001D70CB" w:rsidRDefault="001D70CB" w:rsidP="001D70CB">
      <w:pPr>
        <w:spacing w:after="0" w:line="240" w:lineRule="auto"/>
        <w:rPr>
          <w:rFonts w:ascii="Arial" w:eastAsiaTheme="minorEastAsia" w:hAnsi="Arial" w:cs="Arial"/>
          <w:i/>
          <w:color w:val="000000" w:themeColor="text1"/>
          <w:kern w:val="24"/>
        </w:rPr>
      </w:pPr>
      <w:r>
        <w:rPr>
          <w:rFonts w:ascii="Arial" w:eastAsiaTheme="minorEastAsia" w:hAnsi="Arial" w:cs="Arial"/>
          <w:i/>
          <w:color w:val="000000" w:themeColor="text1"/>
          <w:kern w:val="24"/>
        </w:rPr>
        <w:t>Data issues</w:t>
      </w:r>
    </w:p>
    <w:p w:rsidR="00B1620C" w:rsidRPr="00B1620C" w:rsidRDefault="00B1620C" w:rsidP="00B1620C">
      <w:pPr>
        <w:spacing w:after="0" w:line="240" w:lineRule="auto"/>
        <w:ind w:left="720"/>
        <w:rPr>
          <w:rFonts w:ascii="Arial" w:eastAsia="Times New Roman" w:hAnsi="Arial" w:cs="Arial"/>
        </w:rPr>
      </w:pPr>
    </w:p>
    <w:p w:rsidR="002C2C48" w:rsidRPr="00FB7FC7" w:rsidRDefault="002C2C48" w:rsidP="00FB7FC7">
      <w:pPr>
        <w:numPr>
          <w:ilvl w:val="0"/>
          <w:numId w:val="21"/>
        </w:numPr>
        <w:spacing w:after="0" w:line="240" w:lineRule="auto"/>
        <w:ind w:left="360"/>
        <w:rPr>
          <w:rFonts w:ascii="Arial" w:eastAsiaTheme="minorEastAsia" w:hAnsi="Arial" w:cs="Arial"/>
          <w:b/>
          <w:bCs/>
          <w:color w:val="000000" w:themeColor="dark1"/>
          <w:kern w:val="24"/>
          <w:lang w:val="pt-BR"/>
        </w:rPr>
      </w:pPr>
      <w:r w:rsidRPr="00A05E9D">
        <w:rPr>
          <w:rFonts w:ascii="Arial" w:eastAsiaTheme="minorEastAsia" w:hAnsi="Arial" w:cs="Arial"/>
          <w:color w:val="000000" w:themeColor="text1"/>
          <w:kern w:val="24"/>
        </w:rPr>
        <w:t xml:space="preserve">The </w:t>
      </w:r>
      <w:r w:rsidR="00FC78C4">
        <w:rPr>
          <w:rFonts w:ascii="Arial" w:eastAsiaTheme="minorEastAsia" w:hAnsi="Arial" w:cs="Arial"/>
          <w:color w:val="000000" w:themeColor="text1"/>
          <w:kern w:val="24"/>
        </w:rPr>
        <w:t xml:space="preserve">ACS analysis </w:t>
      </w:r>
      <w:r w:rsidR="001D70CB">
        <w:rPr>
          <w:rFonts w:ascii="Arial" w:eastAsiaTheme="minorEastAsia" w:hAnsi="Arial" w:cs="Arial"/>
          <w:color w:val="000000" w:themeColor="text1"/>
          <w:kern w:val="24"/>
        </w:rPr>
        <w:t>finds no</w:t>
      </w:r>
      <w:r w:rsidR="00FB7FC7">
        <w:rPr>
          <w:rFonts w:ascii="Arial" w:eastAsiaTheme="minorEastAsia" w:hAnsi="Arial" w:cs="Arial"/>
          <w:color w:val="000000" w:themeColor="text1"/>
          <w:kern w:val="24"/>
        </w:rPr>
        <w:t xml:space="preserve"> </w:t>
      </w:r>
      <w:r w:rsidR="00FC78C4">
        <w:rPr>
          <w:rFonts w:ascii="Arial" w:eastAsiaTheme="minorEastAsia" w:hAnsi="Arial" w:cs="Arial"/>
          <w:color w:val="000000" w:themeColor="text1"/>
          <w:kern w:val="24"/>
        </w:rPr>
        <w:t>C</w:t>
      </w:r>
      <w:r w:rsidR="00FB7FC7">
        <w:rPr>
          <w:rFonts w:ascii="Arial" w:eastAsiaTheme="minorEastAsia" w:hAnsi="Arial" w:cs="Arial"/>
          <w:color w:val="000000" w:themeColor="text1"/>
          <w:kern w:val="24"/>
        </w:rPr>
        <w:t>alFresh</w:t>
      </w:r>
      <w:r w:rsidR="00FB7FC7">
        <w:rPr>
          <w:rFonts w:ascii="Arial" w:eastAsiaTheme="minorEastAsia" w:hAnsi="Arial" w:cs="Arial"/>
          <w:color w:val="000000" w:themeColor="text1"/>
          <w:kern w:val="24"/>
        </w:rPr>
        <w:noBreakHyphen/>
      </w:r>
      <w:r w:rsidRPr="00A05E9D">
        <w:rPr>
          <w:rFonts w:ascii="Arial" w:eastAsiaTheme="minorEastAsia" w:hAnsi="Arial" w:cs="Arial"/>
          <w:color w:val="000000" w:themeColor="text1"/>
          <w:kern w:val="24"/>
        </w:rPr>
        <w:t xml:space="preserve">eligible persons in </w:t>
      </w:r>
      <w:r w:rsidR="00FC78C4">
        <w:rPr>
          <w:rFonts w:ascii="Arial" w:eastAsiaTheme="minorEastAsia" w:hAnsi="Arial" w:cs="Arial"/>
          <w:color w:val="000000" w:themeColor="text1"/>
          <w:kern w:val="24"/>
        </w:rPr>
        <w:t>some Census tracts</w:t>
      </w:r>
      <w:r w:rsidRPr="00A05E9D">
        <w:rPr>
          <w:rFonts w:ascii="Arial" w:eastAsiaTheme="minorEastAsia" w:hAnsi="Arial" w:cs="Arial"/>
          <w:color w:val="000000" w:themeColor="text1"/>
          <w:kern w:val="24"/>
        </w:rPr>
        <w:t xml:space="preserve"> </w:t>
      </w:r>
      <w:r w:rsidR="00FC78C4">
        <w:rPr>
          <w:rFonts w:ascii="Arial" w:eastAsiaTheme="minorEastAsia" w:hAnsi="Arial" w:cs="Arial"/>
          <w:color w:val="000000" w:themeColor="text1"/>
          <w:kern w:val="24"/>
        </w:rPr>
        <w:t>and reports that there are more</w:t>
      </w:r>
      <w:r w:rsidR="00FB7FC7">
        <w:rPr>
          <w:rFonts w:ascii="Arial" w:eastAsiaTheme="minorEastAsia" w:hAnsi="Arial" w:cs="Arial"/>
          <w:color w:val="000000" w:themeColor="text1"/>
          <w:kern w:val="24"/>
        </w:rPr>
        <w:t xml:space="preserve"> SSI/SSP and CCO households </w:t>
      </w:r>
      <w:r w:rsidR="00FC78C4">
        <w:rPr>
          <w:rFonts w:ascii="Arial" w:eastAsiaTheme="minorEastAsia" w:hAnsi="Arial" w:cs="Arial"/>
          <w:color w:val="000000" w:themeColor="text1"/>
          <w:kern w:val="24"/>
        </w:rPr>
        <w:t>than CalFresh</w:t>
      </w:r>
      <w:r w:rsidR="00FC78C4">
        <w:rPr>
          <w:rFonts w:ascii="Arial" w:eastAsiaTheme="minorEastAsia" w:hAnsi="Arial" w:cs="Arial"/>
          <w:color w:val="000000" w:themeColor="text1"/>
          <w:kern w:val="24"/>
        </w:rPr>
        <w:noBreakHyphen/>
        <w:t xml:space="preserve">eligible </w:t>
      </w:r>
      <w:r w:rsidR="001D70CB">
        <w:rPr>
          <w:rFonts w:ascii="Arial" w:eastAsiaTheme="minorEastAsia" w:hAnsi="Arial" w:cs="Arial"/>
          <w:color w:val="000000" w:themeColor="text1"/>
          <w:kern w:val="24"/>
        </w:rPr>
        <w:t>individuals in some others.  In these cases the PRI denominator is negative or 0.</w:t>
      </w:r>
    </w:p>
    <w:p w:rsidR="002C2C48" w:rsidRPr="00A05E9D" w:rsidRDefault="002C2C48" w:rsidP="00BD724E">
      <w:pPr>
        <w:spacing w:after="0" w:line="240" w:lineRule="auto"/>
        <w:ind w:left="360"/>
        <w:rPr>
          <w:rFonts w:ascii="Arial" w:eastAsia="Times New Roman" w:hAnsi="Arial" w:cs="Arial"/>
        </w:rPr>
      </w:pPr>
    </w:p>
    <w:p w:rsidR="002C2C48" w:rsidRPr="00A05E9D" w:rsidRDefault="00DC713C" w:rsidP="00BD724E">
      <w:pPr>
        <w:numPr>
          <w:ilvl w:val="0"/>
          <w:numId w:val="21"/>
        </w:numPr>
        <w:spacing w:after="0" w:line="240" w:lineRule="auto"/>
        <w:ind w:left="360"/>
        <w:contextualSpacing/>
        <w:rPr>
          <w:rFonts w:ascii="Arial" w:eastAsiaTheme="minorEastAsia" w:hAnsi="Arial" w:cs="Arial"/>
          <w:color w:val="000000" w:themeColor="text1"/>
          <w:kern w:val="24"/>
        </w:rPr>
      </w:pPr>
      <w:r>
        <w:rPr>
          <w:rFonts w:ascii="Arial" w:eastAsiaTheme="minorEastAsia" w:hAnsi="Arial" w:cs="Arial"/>
          <w:color w:val="000000" w:themeColor="text1"/>
          <w:kern w:val="24"/>
        </w:rPr>
        <w:t>Some ACS</w:t>
      </w:r>
      <w:r w:rsidR="002C2C48" w:rsidRPr="00A05E9D">
        <w:rPr>
          <w:rFonts w:ascii="Arial" w:eastAsiaTheme="minorEastAsia" w:hAnsi="Arial" w:cs="Arial"/>
          <w:color w:val="000000" w:themeColor="text1"/>
          <w:kern w:val="24"/>
        </w:rPr>
        <w:t xml:space="preserve"> tract-level</w:t>
      </w:r>
      <w:r>
        <w:rPr>
          <w:rFonts w:ascii="Arial" w:eastAsiaTheme="minorEastAsia" w:hAnsi="Arial" w:cs="Arial"/>
          <w:color w:val="000000" w:themeColor="text1"/>
          <w:kern w:val="24"/>
        </w:rPr>
        <w:t xml:space="preserve"> estimates of income</w:t>
      </w:r>
      <w:r>
        <w:rPr>
          <w:rFonts w:ascii="Arial" w:eastAsiaTheme="minorEastAsia" w:hAnsi="Arial" w:cs="Arial"/>
          <w:color w:val="000000" w:themeColor="text1"/>
          <w:kern w:val="24"/>
        </w:rPr>
        <w:noBreakHyphen/>
      </w:r>
      <w:r w:rsidR="002C2C48" w:rsidRPr="00A05E9D">
        <w:rPr>
          <w:rFonts w:ascii="Arial" w:eastAsiaTheme="minorEastAsia" w:hAnsi="Arial" w:cs="Arial"/>
          <w:color w:val="000000" w:themeColor="text1"/>
          <w:kern w:val="24"/>
        </w:rPr>
        <w:t xml:space="preserve">eligible persons </w:t>
      </w:r>
      <w:r>
        <w:rPr>
          <w:rFonts w:ascii="Arial" w:eastAsiaTheme="minorEastAsia" w:hAnsi="Arial" w:cs="Arial"/>
          <w:color w:val="000000" w:themeColor="text1"/>
          <w:kern w:val="24"/>
        </w:rPr>
        <w:t>are lower than</w:t>
      </w:r>
      <w:r w:rsidR="002C2C48" w:rsidRPr="00A05E9D">
        <w:rPr>
          <w:rFonts w:ascii="Arial" w:eastAsiaTheme="minorEastAsia" w:hAnsi="Arial" w:cs="Arial"/>
          <w:color w:val="000000" w:themeColor="text1"/>
          <w:kern w:val="24"/>
        </w:rPr>
        <w:t xml:space="preserve"> the number of persons receiving CalFresh. </w:t>
      </w:r>
      <w:r w:rsidR="00FC78C4">
        <w:rPr>
          <w:rFonts w:ascii="Arial" w:eastAsiaTheme="minorEastAsia" w:hAnsi="Arial" w:cs="Arial"/>
          <w:color w:val="000000" w:themeColor="text1"/>
          <w:kern w:val="24"/>
        </w:rPr>
        <w:t xml:space="preserve"> </w:t>
      </w:r>
      <w:r w:rsidR="002C2C48" w:rsidRPr="00A05E9D">
        <w:rPr>
          <w:rFonts w:ascii="Arial" w:eastAsiaTheme="minorEastAsia" w:hAnsi="Arial" w:cs="Arial"/>
          <w:color w:val="000000" w:themeColor="text1"/>
          <w:kern w:val="24"/>
        </w:rPr>
        <w:t>This leads to an PRI value greater than 1</w:t>
      </w:r>
      <w:r>
        <w:rPr>
          <w:rFonts w:ascii="Arial" w:eastAsiaTheme="minorEastAsia" w:hAnsi="Arial" w:cs="Arial"/>
          <w:color w:val="000000" w:themeColor="text1"/>
          <w:kern w:val="24"/>
        </w:rPr>
        <w:t>.</w:t>
      </w:r>
      <w:r w:rsidR="002C2C48" w:rsidRPr="00A05E9D">
        <w:rPr>
          <w:rFonts w:ascii="Arial" w:eastAsiaTheme="minorEastAsia" w:hAnsi="Arial" w:cs="Arial"/>
          <w:color w:val="000000" w:themeColor="text1"/>
          <w:kern w:val="24"/>
        </w:rPr>
        <w:t xml:space="preserve"> </w:t>
      </w:r>
    </w:p>
    <w:p w:rsidR="002C2C48" w:rsidRDefault="002C2C48" w:rsidP="00BD724E">
      <w:pPr>
        <w:spacing w:after="0" w:line="240" w:lineRule="auto"/>
        <w:ind w:left="360"/>
        <w:contextualSpacing/>
        <w:rPr>
          <w:rFonts w:ascii="Arial" w:eastAsiaTheme="minorEastAsia" w:hAnsi="Arial" w:cs="Arial"/>
          <w:color w:val="000000" w:themeColor="text1"/>
          <w:kern w:val="24"/>
        </w:rPr>
      </w:pPr>
    </w:p>
    <w:p w:rsidR="001D70CB" w:rsidRPr="00A05E9D" w:rsidRDefault="001D70CB" w:rsidP="001D70CB">
      <w:pPr>
        <w:spacing w:after="0" w:line="240" w:lineRule="auto"/>
        <w:contextualSpacing/>
        <w:rPr>
          <w:rFonts w:ascii="Arial" w:eastAsiaTheme="minorEastAsia" w:hAnsi="Arial" w:cs="Arial"/>
          <w:color w:val="000000" w:themeColor="text1"/>
          <w:kern w:val="24"/>
        </w:rPr>
      </w:pPr>
      <w:r>
        <w:rPr>
          <w:rFonts w:ascii="Arial" w:eastAsiaTheme="minorEastAsia" w:hAnsi="Arial" w:cs="Arial"/>
          <w:color w:val="000000" w:themeColor="text1"/>
          <w:kern w:val="24"/>
        </w:rPr>
        <w:lastRenderedPageBreak/>
        <w:t>Both the address issues and the data issues become more widespread at more fine</w:t>
      </w:r>
      <w:r>
        <w:rPr>
          <w:rFonts w:ascii="Arial" w:eastAsiaTheme="minorEastAsia" w:hAnsi="Arial" w:cs="Arial"/>
          <w:color w:val="000000" w:themeColor="text1"/>
          <w:kern w:val="24"/>
        </w:rPr>
        <w:noBreakHyphen/>
        <w:t>grained levels of geographic analysis.</w:t>
      </w:r>
      <w:r w:rsidR="00D267BA">
        <w:rPr>
          <w:rFonts w:ascii="Arial" w:eastAsiaTheme="minorEastAsia" w:hAnsi="Arial" w:cs="Arial"/>
          <w:color w:val="000000" w:themeColor="text1"/>
          <w:kern w:val="24"/>
        </w:rPr>
        <w:t xml:space="preserve">  </w:t>
      </w:r>
    </w:p>
    <w:p w:rsidR="001636FD" w:rsidRPr="00A05E9D" w:rsidRDefault="001636FD" w:rsidP="006F236D">
      <w:pPr>
        <w:autoSpaceDE w:val="0"/>
        <w:autoSpaceDN w:val="0"/>
        <w:adjustRightInd w:val="0"/>
        <w:spacing w:after="0" w:line="240" w:lineRule="auto"/>
        <w:rPr>
          <w:rFonts w:ascii="Arial" w:hAnsi="Arial" w:cs="Arial"/>
          <w:bCs/>
        </w:rPr>
      </w:pPr>
    </w:p>
    <w:p w:rsidR="001636FD" w:rsidRPr="006F236D" w:rsidRDefault="000E54E9" w:rsidP="001636FD">
      <w:pPr>
        <w:autoSpaceDE w:val="0"/>
        <w:autoSpaceDN w:val="0"/>
        <w:adjustRightInd w:val="0"/>
        <w:spacing w:after="0" w:line="240" w:lineRule="auto"/>
        <w:rPr>
          <w:rFonts w:ascii="Arial" w:hAnsi="Arial" w:cs="Arial"/>
          <w:b/>
          <w:color w:val="000000"/>
        </w:rPr>
      </w:pPr>
      <w:r>
        <w:rPr>
          <w:rFonts w:ascii="Arial" w:hAnsi="Arial" w:cs="Arial"/>
          <w:b/>
          <w:color w:val="000000"/>
        </w:rPr>
        <w:t>Combining</w:t>
      </w:r>
      <w:r w:rsidR="006F236D">
        <w:rPr>
          <w:rFonts w:ascii="Arial" w:hAnsi="Arial" w:cs="Arial"/>
          <w:b/>
          <w:color w:val="000000"/>
        </w:rPr>
        <w:t xml:space="preserve"> the child-only methodology with geocoding to locate pockets of non-participating CalFresh eligibles</w:t>
      </w:r>
    </w:p>
    <w:p w:rsidR="00A22C57" w:rsidRPr="00A05E9D" w:rsidRDefault="00A22C57" w:rsidP="00402E84">
      <w:pPr>
        <w:autoSpaceDE w:val="0"/>
        <w:autoSpaceDN w:val="0"/>
        <w:adjustRightInd w:val="0"/>
        <w:spacing w:after="0" w:line="240" w:lineRule="auto"/>
        <w:jc w:val="center"/>
        <w:rPr>
          <w:rFonts w:ascii="Arial" w:eastAsiaTheme="minorEastAsia" w:hAnsi="Arial" w:cs="Arial"/>
          <w:color w:val="000000" w:themeColor="text1"/>
          <w:kern w:val="24"/>
        </w:rPr>
      </w:pPr>
    </w:p>
    <w:p w:rsidR="00B05429" w:rsidRDefault="00B05429" w:rsidP="00B05429">
      <w:pPr>
        <w:autoSpaceDE w:val="0"/>
        <w:autoSpaceDN w:val="0"/>
        <w:adjustRightInd w:val="0"/>
        <w:spacing w:after="0" w:line="240" w:lineRule="auto"/>
        <w:rPr>
          <w:rFonts w:ascii="Arial" w:hAnsi="Arial" w:cs="Arial"/>
        </w:rPr>
      </w:pPr>
      <w:r w:rsidRPr="00A05E9D">
        <w:rPr>
          <w:rFonts w:ascii="Arial" w:hAnsi="Arial" w:cs="Arial"/>
        </w:rPr>
        <w:t xml:space="preserve">The addresses of persons who received CalFresh </w:t>
      </w:r>
      <w:r w:rsidR="000E54E9">
        <w:rPr>
          <w:rFonts w:ascii="Arial" w:hAnsi="Arial" w:cs="Arial"/>
        </w:rPr>
        <w:t>in</w:t>
      </w:r>
      <w:r w:rsidRPr="00A05E9D">
        <w:rPr>
          <w:rFonts w:ascii="Arial" w:hAnsi="Arial" w:cs="Arial"/>
        </w:rPr>
        <w:t xml:space="preserve"> June 2013 </w:t>
      </w:r>
      <w:r w:rsidR="000E54E9">
        <w:rPr>
          <w:rFonts w:ascii="Arial" w:hAnsi="Arial" w:cs="Arial"/>
        </w:rPr>
        <w:t>were</w:t>
      </w:r>
      <w:r w:rsidRPr="00A05E9D">
        <w:rPr>
          <w:rFonts w:ascii="Arial" w:hAnsi="Arial" w:cs="Arial"/>
        </w:rPr>
        <w:t xml:space="preserve"> geocoded</w:t>
      </w:r>
      <w:r w:rsidR="000E54E9">
        <w:rPr>
          <w:rFonts w:ascii="Arial" w:hAnsi="Arial" w:cs="Arial"/>
        </w:rPr>
        <w:t xml:space="preserve"> and t</w:t>
      </w:r>
      <w:r w:rsidRPr="00A05E9D">
        <w:rPr>
          <w:rFonts w:ascii="Arial" w:hAnsi="Arial" w:cs="Arial"/>
        </w:rPr>
        <w:t xml:space="preserve">he resulting geographical database </w:t>
      </w:r>
      <w:r w:rsidR="000E54E9">
        <w:rPr>
          <w:rFonts w:ascii="Arial" w:hAnsi="Arial" w:cs="Arial"/>
        </w:rPr>
        <w:t>was</w:t>
      </w:r>
      <w:r w:rsidRPr="00A05E9D">
        <w:rPr>
          <w:rFonts w:ascii="Arial" w:hAnsi="Arial" w:cs="Arial"/>
        </w:rPr>
        <w:t xml:space="preserve"> merged with </w:t>
      </w:r>
      <w:r w:rsidR="000E54E9">
        <w:rPr>
          <w:rFonts w:ascii="Arial" w:hAnsi="Arial" w:cs="Arial"/>
        </w:rPr>
        <w:t>ACS 2007-20</w:t>
      </w:r>
      <w:r>
        <w:rPr>
          <w:rFonts w:ascii="Arial" w:hAnsi="Arial" w:cs="Arial"/>
        </w:rPr>
        <w:t xml:space="preserve">11 and </w:t>
      </w:r>
      <w:r w:rsidR="000E54E9">
        <w:rPr>
          <w:rFonts w:ascii="Arial" w:hAnsi="Arial" w:cs="Arial"/>
        </w:rPr>
        <w:t>2008-20</w:t>
      </w:r>
      <w:r w:rsidR="008555C2">
        <w:rPr>
          <w:rFonts w:ascii="Arial" w:hAnsi="Arial" w:cs="Arial"/>
        </w:rPr>
        <w:t>12</w:t>
      </w:r>
      <w:r w:rsidRPr="00A05E9D">
        <w:rPr>
          <w:rFonts w:ascii="Arial" w:hAnsi="Arial" w:cs="Arial"/>
        </w:rPr>
        <w:t xml:space="preserve"> geodatabase files.  This step </w:t>
      </w:r>
      <w:r>
        <w:rPr>
          <w:rFonts w:ascii="Arial" w:hAnsi="Arial" w:cs="Arial"/>
        </w:rPr>
        <w:t>merges</w:t>
      </w:r>
      <w:r w:rsidR="000E54E9">
        <w:rPr>
          <w:rFonts w:ascii="Arial" w:hAnsi="Arial" w:cs="Arial"/>
        </w:rPr>
        <w:t xml:space="preserve"> all </w:t>
      </w:r>
      <w:r w:rsidRPr="00A05E9D">
        <w:rPr>
          <w:rFonts w:ascii="Arial" w:hAnsi="Arial" w:cs="Arial"/>
        </w:rPr>
        <w:t xml:space="preserve">the fields in the </w:t>
      </w:r>
      <w:r w:rsidRPr="00A05E9D">
        <w:rPr>
          <w:rFonts w:ascii="Arial" w:hAnsi="Arial" w:cs="Arial"/>
          <w:color w:val="000000" w:themeColor="text1"/>
        </w:rPr>
        <w:t>CalFresh data with the fields</w:t>
      </w:r>
      <w:r w:rsidR="000E54E9">
        <w:rPr>
          <w:rFonts w:ascii="Arial" w:hAnsi="Arial" w:cs="Arial"/>
          <w:color w:val="000000" w:themeColor="text1"/>
        </w:rPr>
        <w:t xml:space="preserve"> in the tract-level data files</w:t>
      </w:r>
      <w:r w:rsidRPr="00A05E9D">
        <w:rPr>
          <w:rFonts w:ascii="Arial" w:hAnsi="Arial" w:cs="Arial"/>
          <w:color w:val="000000" w:themeColor="text1"/>
        </w:rPr>
        <w:t xml:space="preserve"> from ACS.</w:t>
      </w:r>
      <w:r w:rsidR="000E54E9">
        <w:rPr>
          <w:rStyle w:val="FootnoteReference"/>
          <w:rFonts w:ascii="Arial" w:hAnsi="Arial" w:cs="Arial"/>
          <w:color w:val="000000" w:themeColor="text1"/>
        </w:rPr>
        <w:footnoteReference w:id="13"/>
      </w:r>
      <w:r w:rsidRPr="00A05E9D">
        <w:rPr>
          <w:rFonts w:ascii="Arial" w:hAnsi="Arial" w:cs="Arial"/>
          <w:color w:val="000000" w:themeColor="text1"/>
        </w:rPr>
        <w:t xml:space="preserve"> </w:t>
      </w:r>
      <w:r w:rsidRPr="00A05E9D">
        <w:rPr>
          <w:rFonts w:ascii="Arial" w:hAnsi="Arial" w:cs="Arial"/>
        </w:rPr>
        <w:t>The addre</w:t>
      </w:r>
      <w:r w:rsidR="000E54E9">
        <w:rPr>
          <w:rFonts w:ascii="Arial" w:hAnsi="Arial" w:cs="Arial"/>
        </w:rPr>
        <w:t>sses of SSI</w:t>
      </w:r>
      <w:r w:rsidRPr="00A05E9D">
        <w:rPr>
          <w:rFonts w:ascii="Arial" w:hAnsi="Arial" w:cs="Arial"/>
        </w:rPr>
        <w:t xml:space="preserve"> recipients </w:t>
      </w:r>
      <w:r w:rsidR="000E54E9">
        <w:rPr>
          <w:rFonts w:ascii="Arial" w:hAnsi="Arial" w:cs="Arial"/>
        </w:rPr>
        <w:t>were</w:t>
      </w:r>
      <w:r w:rsidRPr="00A05E9D">
        <w:rPr>
          <w:rFonts w:ascii="Arial" w:hAnsi="Arial" w:cs="Arial"/>
        </w:rPr>
        <w:t xml:space="preserve"> also geocoded</w:t>
      </w:r>
      <w:r>
        <w:rPr>
          <w:rFonts w:ascii="Arial" w:hAnsi="Arial" w:cs="Arial"/>
        </w:rPr>
        <w:t xml:space="preserve">. </w:t>
      </w:r>
      <w:r w:rsidR="001B3FA0">
        <w:rPr>
          <w:rFonts w:ascii="Arial" w:hAnsi="Arial" w:cs="Arial"/>
        </w:rPr>
        <w:t xml:space="preserve"> Maps can be produced from this database showing program reach by geographic area.</w:t>
      </w:r>
    </w:p>
    <w:p w:rsidR="008555C2" w:rsidRDefault="008555C2" w:rsidP="00B05429">
      <w:pPr>
        <w:autoSpaceDE w:val="0"/>
        <w:autoSpaceDN w:val="0"/>
        <w:adjustRightInd w:val="0"/>
        <w:spacing w:after="0" w:line="240" w:lineRule="auto"/>
        <w:rPr>
          <w:rFonts w:ascii="Arial" w:hAnsi="Arial" w:cs="Arial"/>
        </w:rPr>
      </w:pPr>
    </w:p>
    <w:p w:rsidR="008555C2" w:rsidRPr="00A05E9D" w:rsidRDefault="008555C2" w:rsidP="00B05429">
      <w:pPr>
        <w:autoSpaceDE w:val="0"/>
        <w:autoSpaceDN w:val="0"/>
        <w:adjustRightInd w:val="0"/>
        <w:spacing w:after="0" w:line="240" w:lineRule="auto"/>
        <w:rPr>
          <w:rFonts w:ascii="Arial" w:hAnsi="Arial" w:cs="Arial"/>
          <w:b/>
        </w:rPr>
      </w:pPr>
      <w:r>
        <w:rPr>
          <w:rFonts w:ascii="Arial" w:hAnsi="Arial" w:cs="Arial"/>
        </w:rPr>
        <w:t xml:space="preserve">Preliminary analysis of sub-county regions based on Zip codes in Los Angeles County suggests that </w:t>
      </w:r>
      <w:r w:rsidR="001B3FA0">
        <w:rPr>
          <w:rFonts w:ascii="Arial" w:hAnsi="Arial" w:cs="Arial"/>
        </w:rPr>
        <w:t>CalFresh participation among eligibles is lower in regions in which non-English-speakers are a minority.</w:t>
      </w:r>
    </w:p>
    <w:p w:rsidR="00DC713C" w:rsidRDefault="00DC713C" w:rsidP="001636FD">
      <w:pPr>
        <w:spacing w:after="0" w:line="240" w:lineRule="auto"/>
        <w:rPr>
          <w:rFonts w:ascii="Arial" w:eastAsiaTheme="minorEastAsia" w:hAnsi="Arial" w:cs="Arial"/>
          <w:b/>
          <w:bCs/>
          <w:kern w:val="24"/>
        </w:rPr>
      </w:pPr>
    </w:p>
    <w:p w:rsidR="005C028C" w:rsidRDefault="005C028C" w:rsidP="001636FD">
      <w:pPr>
        <w:spacing w:after="0" w:line="240" w:lineRule="auto"/>
        <w:contextualSpacing/>
        <w:rPr>
          <w:rFonts w:ascii="Arial" w:eastAsiaTheme="minorEastAsia" w:hAnsi="Arial" w:cs="Arial"/>
          <w:b/>
          <w:bCs/>
          <w:kern w:val="24"/>
        </w:rPr>
      </w:pPr>
    </w:p>
    <w:p w:rsidR="005C028C" w:rsidRDefault="005C028C" w:rsidP="001636FD">
      <w:pPr>
        <w:spacing w:after="0" w:line="240" w:lineRule="auto"/>
        <w:contextualSpacing/>
        <w:rPr>
          <w:rFonts w:ascii="Arial" w:eastAsiaTheme="minorEastAsia" w:hAnsi="Arial" w:cs="Arial"/>
          <w:b/>
          <w:bCs/>
          <w:kern w:val="24"/>
        </w:rPr>
      </w:pPr>
    </w:p>
    <w:p w:rsidR="001636FD" w:rsidRDefault="008555C2" w:rsidP="001636FD">
      <w:pPr>
        <w:spacing w:after="0" w:line="240" w:lineRule="auto"/>
        <w:contextualSpacing/>
        <w:rPr>
          <w:rFonts w:ascii="Arial" w:eastAsiaTheme="minorEastAsia" w:hAnsi="Arial" w:cs="Arial"/>
          <w:b/>
          <w:bCs/>
          <w:kern w:val="24"/>
        </w:rPr>
      </w:pPr>
      <w:r>
        <w:rPr>
          <w:rFonts w:ascii="Arial" w:eastAsiaTheme="minorEastAsia" w:hAnsi="Arial" w:cs="Arial"/>
          <w:b/>
          <w:bCs/>
          <w:kern w:val="24"/>
        </w:rPr>
        <w:t>Discussion</w:t>
      </w:r>
    </w:p>
    <w:p w:rsidR="008555C2" w:rsidRDefault="008555C2" w:rsidP="001636FD">
      <w:pPr>
        <w:spacing w:after="0" w:line="240" w:lineRule="auto"/>
        <w:contextualSpacing/>
        <w:rPr>
          <w:rFonts w:ascii="Arial" w:eastAsiaTheme="minorEastAsia" w:hAnsi="Arial" w:cs="Arial"/>
          <w:b/>
          <w:bCs/>
          <w:kern w:val="24"/>
        </w:rPr>
      </w:pPr>
    </w:p>
    <w:p w:rsidR="008555C2" w:rsidRDefault="009C135E" w:rsidP="001636FD">
      <w:pPr>
        <w:spacing w:after="0" w:line="240" w:lineRule="auto"/>
        <w:contextualSpacing/>
        <w:rPr>
          <w:rFonts w:ascii="Arial" w:eastAsiaTheme="minorEastAsia" w:hAnsi="Arial" w:cs="Arial"/>
          <w:color w:val="000000" w:themeColor="text1"/>
          <w:kern w:val="24"/>
        </w:rPr>
      </w:pPr>
      <w:r>
        <w:rPr>
          <w:rFonts w:ascii="Arial" w:eastAsiaTheme="minorEastAsia" w:hAnsi="Arial" w:cs="Arial"/>
          <w:color w:val="000000" w:themeColor="text1"/>
          <w:kern w:val="24"/>
        </w:rPr>
        <w:t>The child</w:t>
      </w:r>
      <w:r>
        <w:rPr>
          <w:rFonts w:ascii="Arial" w:eastAsiaTheme="minorEastAsia" w:hAnsi="Arial" w:cs="Arial"/>
          <w:color w:val="000000" w:themeColor="text1"/>
          <w:kern w:val="24"/>
        </w:rPr>
        <w:noBreakHyphen/>
        <w:t xml:space="preserve">only methodology </w:t>
      </w:r>
      <w:r w:rsidR="008A2035">
        <w:rPr>
          <w:rFonts w:ascii="Arial" w:eastAsiaTheme="minorEastAsia" w:hAnsi="Arial" w:cs="Arial"/>
          <w:color w:val="000000" w:themeColor="text1"/>
          <w:kern w:val="24"/>
        </w:rPr>
        <w:t xml:space="preserve">provides a more nuanced measure of CalFresh participation among income- </w:t>
      </w:r>
      <w:r w:rsidR="008A2035" w:rsidRPr="008A2035">
        <w:rPr>
          <w:rFonts w:ascii="Arial" w:eastAsiaTheme="minorEastAsia" w:hAnsi="Arial" w:cs="Arial"/>
          <w:i/>
          <w:color w:val="000000" w:themeColor="text1"/>
          <w:kern w:val="24"/>
        </w:rPr>
        <w:t>and citizenship</w:t>
      </w:r>
      <w:r w:rsidR="008A2035">
        <w:rPr>
          <w:rFonts w:ascii="Arial" w:eastAsiaTheme="minorEastAsia" w:hAnsi="Arial" w:cs="Arial"/>
          <w:color w:val="000000" w:themeColor="text1"/>
          <w:kern w:val="24"/>
        </w:rPr>
        <w:noBreakHyphen/>
        <w:t xml:space="preserve">eligible individuals than the PAI or Mathematica’s program participation rates.  </w:t>
      </w:r>
      <w:r>
        <w:rPr>
          <w:rFonts w:ascii="Arial" w:eastAsiaTheme="minorEastAsia" w:hAnsi="Arial" w:cs="Arial"/>
          <w:color w:val="000000" w:themeColor="text1"/>
          <w:kern w:val="24"/>
        </w:rPr>
        <w:t>Estimates of the undocumented immigrant population using the child-only methodology are broadly consistent with county</w:t>
      </w:r>
      <w:r>
        <w:rPr>
          <w:rFonts w:ascii="Arial" w:eastAsiaTheme="minorEastAsia" w:hAnsi="Arial" w:cs="Arial"/>
          <w:color w:val="000000" w:themeColor="text1"/>
          <w:kern w:val="24"/>
        </w:rPr>
        <w:noBreakHyphen/>
        <w:t>level estimates from PPIC and state</w:t>
      </w:r>
      <w:r>
        <w:rPr>
          <w:rFonts w:ascii="Arial" w:eastAsiaTheme="minorEastAsia" w:hAnsi="Arial" w:cs="Arial"/>
          <w:color w:val="000000" w:themeColor="text1"/>
          <w:kern w:val="24"/>
        </w:rPr>
        <w:noBreakHyphen/>
        <w:t xml:space="preserve">level estimates from PPIC and DHS.  </w:t>
      </w:r>
      <w:r w:rsidR="00952190">
        <w:rPr>
          <w:rFonts w:ascii="Arial" w:eastAsiaTheme="minorEastAsia" w:hAnsi="Arial" w:cs="Arial"/>
          <w:color w:val="000000" w:themeColor="text1"/>
          <w:kern w:val="24"/>
        </w:rPr>
        <w:t>Combining the child</w:t>
      </w:r>
      <w:r w:rsidR="00952190">
        <w:rPr>
          <w:rFonts w:ascii="Arial" w:eastAsiaTheme="minorEastAsia" w:hAnsi="Arial" w:cs="Arial"/>
          <w:color w:val="000000" w:themeColor="text1"/>
          <w:kern w:val="24"/>
        </w:rPr>
        <w:noBreakHyphen/>
        <w:t xml:space="preserve">only methodology with geocoding allows CalFresh participation to be analyzed in the context of the local communities in which eligible individuals live.  This spatial analysis can be conducted with confidence at the county level and for certain regions within counties.  In some </w:t>
      </w:r>
      <w:r w:rsidR="00D379ED">
        <w:rPr>
          <w:rFonts w:ascii="Arial" w:eastAsiaTheme="minorEastAsia" w:hAnsi="Arial" w:cs="Arial"/>
          <w:color w:val="000000" w:themeColor="text1"/>
          <w:kern w:val="24"/>
        </w:rPr>
        <w:t>areas</w:t>
      </w:r>
      <w:r w:rsidR="00952190">
        <w:rPr>
          <w:rFonts w:ascii="Arial" w:eastAsiaTheme="minorEastAsia" w:hAnsi="Arial" w:cs="Arial"/>
          <w:color w:val="000000" w:themeColor="text1"/>
          <w:kern w:val="24"/>
        </w:rPr>
        <w:t xml:space="preserve">, </w:t>
      </w:r>
      <w:r w:rsidR="00D379ED">
        <w:rPr>
          <w:rFonts w:ascii="Arial" w:eastAsiaTheme="minorEastAsia" w:hAnsi="Arial" w:cs="Arial"/>
          <w:color w:val="000000" w:themeColor="text1"/>
          <w:kern w:val="24"/>
        </w:rPr>
        <w:t xml:space="preserve">where most recipient addresses are geocodable, </w:t>
      </w:r>
      <w:r w:rsidR="00952190">
        <w:rPr>
          <w:rFonts w:ascii="Arial" w:eastAsiaTheme="minorEastAsia" w:hAnsi="Arial" w:cs="Arial"/>
          <w:color w:val="000000" w:themeColor="text1"/>
          <w:kern w:val="24"/>
        </w:rPr>
        <w:t>Zip code or tract</w:t>
      </w:r>
      <w:r w:rsidR="00952190">
        <w:rPr>
          <w:rFonts w:ascii="Arial" w:eastAsiaTheme="minorEastAsia" w:hAnsi="Arial" w:cs="Arial"/>
          <w:color w:val="000000" w:themeColor="text1"/>
          <w:kern w:val="24"/>
        </w:rPr>
        <w:noBreakHyphen/>
        <w:t>level analysis may be feasible.</w:t>
      </w:r>
    </w:p>
    <w:p w:rsidR="00116893" w:rsidRDefault="00116893" w:rsidP="001636FD">
      <w:pPr>
        <w:spacing w:after="0" w:line="240" w:lineRule="auto"/>
        <w:contextualSpacing/>
        <w:rPr>
          <w:rFonts w:ascii="Arial" w:eastAsiaTheme="minorEastAsia" w:hAnsi="Arial" w:cs="Arial"/>
          <w:color w:val="000000" w:themeColor="text1"/>
          <w:kern w:val="24"/>
        </w:rPr>
      </w:pPr>
    </w:p>
    <w:p w:rsidR="00116893" w:rsidRDefault="00116893" w:rsidP="001636FD">
      <w:pPr>
        <w:spacing w:after="0" w:line="240" w:lineRule="auto"/>
        <w:contextualSpacing/>
        <w:rPr>
          <w:rFonts w:ascii="Arial" w:eastAsiaTheme="minorEastAsia" w:hAnsi="Arial" w:cs="Arial"/>
          <w:color w:val="000000" w:themeColor="text1"/>
          <w:kern w:val="24"/>
        </w:rPr>
      </w:pPr>
    </w:p>
    <w:p w:rsidR="00116893" w:rsidRDefault="00116893" w:rsidP="001636FD">
      <w:pPr>
        <w:spacing w:after="0" w:line="240" w:lineRule="auto"/>
        <w:contextualSpacing/>
        <w:rPr>
          <w:rFonts w:ascii="Arial" w:eastAsiaTheme="minorEastAsia" w:hAnsi="Arial" w:cs="Arial"/>
          <w:color w:val="000000" w:themeColor="text1"/>
          <w:kern w:val="24"/>
        </w:rPr>
      </w:pPr>
    </w:p>
    <w:p w:rsidR="00184813" w:rsidRDefault="00184813">
      <w:pPr>
        <w:rPr>
          <w:rFonts w:ascii="Arial" w:eastAsiaTheme="minorEastAsia" w:hAnsi="Arial" w:cs="Arial"/>
          <w:b/>
          <w:color w:val="000000" w:themeColor="text1"/>
          <w:kern w:val="24"/>
        </w:rPr>
      </w:pPr>
      <w:r>
        <w:rPr>
          <w:rFonts w:ascii="Arial" w:eastAsiaTheme="minorEastAsia" w:hAnsi="Arial" w:cs="Arial"/>
          <w:b/>
          <w:color w:val="000000" w:themeColor="text1"/>
          <w:kern w:val="24"/>
        </w:rPr>
        <w:br w:type="page"/>
      </w:r>
    </w:p>
    <w:p w:rsidR="00116893" w:rsidRDefault="00116893" w:rsidP="001636FD">
      <w:pPr>
        <w:spacing w:after="0" w:line="240" w:lineRule="auto"/>
        <w:contextualSpacing/>
        <w:rPr>
          <w:rFonts w:ascii="Arial" w:eastAsiaTheme="minorEastAsia" w:hAnsi="Arial" w:cs="Arial"/>
          <w:b/>
          <w:color w:val="000000" w:themeColor="text1"/>
          <w:kern w:val="24"/>
        </w:rPr>
      </w:pPr>
      <w:r>
        <w:rPr>
          <w:rFonts w:ascii="Arial" w:eastAsiaTheme="minorEastAsia" w:hAnsi="Arial" w:cs="Arial"/>
          <w:b/>
          <w:color w:val="000000" w:themeColor="text1"/>
          <w:kern w:val="24"/>
        </w:rPr>
        <w:lastRenderedPageBreak/>
        <w:t>References</w:t>
      </w:r>
    </w:p>
    <w:p w:rsidR="00116893" w:rsidRDefault="00116893" w:rsidP="001636FD">
      <w:pPr>
        <w:spacing w:after="0" w:line="240" w:lineRule="auto"/>
        <w:contextualSpacing/>
        <w:rPr>
          <w:rFonts w:ascii="Arial" w:eastAsiaTheme="minorEastAsia" w:hAnsi="Arial" w:cs="Arial"/>
          <w:b/>
          <w:color w:val="000000" w:themeColor="text1"/>
          <w:kern w:val="24"/>
        </w:rPr>
      </w:pPr>
    </w:p>
    <w:p w:rsidR="00EC47C8" w:rsidRDefault="00EC47C8" w:rsidP="001636FD">
      <w:pPr>
        <w:spacing w:after="0" w:line="240" w:lineRule="auto"/>
        <w:contextualSpacing/>
        <w:rPr>
          <w:rFonts w:ascii="Arial" w:eastAsiaTheme="minorEastAsia" w:hAnsi="Arial" w:cs="Arial"/>
          <w:b/>
          <w:color w:val="000000" w:themeColor="text1"/>
          <w:kern w:val="24"/>
        </w:rPr>
      </w:pPr>
      <w:r w:rsidRPr="00254763">
        <w:rPr>
          <w:rFonts w:ascii="Arial" w:hAnsi="Arial" w:cs="Arial"/>
        </w:rPr>
        <w:t>Birnbach</w:t>
      </w:r>
      <w:r>
        <w:rPr>
          <w:rFonts w:ascii="Arial" w:hAnsi="Arial" w:cs="Arial"/>
        </w:rPr>
        <w:t xml:space="preserve">, </w:t>
      </w:r>
      <w:r w:rsidRPr="00254763">
        <w:rPr>
          <w:rFonts w:ascii="Arial" w:hAnsi="Arial" w:cs="Arial"/>
        </w:rPr>
        <w:t xml:space="preserve">Kerry and Tia Shimada, </w:t>
      </w:r>
      <w:r w:rsidRPr="00254763">
        <w:rPr>
          <w:rFonts w:ascii="Arial" w:hAnsi="Arial" w:cs="Arial"/>
          <w:i/>
        </w:rPr>
        <w:t>Program Access Index 2012:  Measuring CalFresh Utilization by County</w:t>
      </w:r>
      <w:r w:rsidRPr="00254763">
        <w:rPr>
          <w:rFonts w:ascii="Arial" w:hAnsi="Arial" w:cs="Arial"/>
        </w:rPr>
        <w:t>, California Food Policy Advocates, February 2014</w:t>
      </w:r>
      <w:r>
        <w:rPr>
          <w:rFonts w:ascii="Arial" w:hAnsi="Arial" w:cs="Arial"/>
        </w:rPr>
        <w:t>,</w:t>
      </w:r>
      <w:r w:rsidRPr="00254763">
        <w:rPr>
          <w:rFonts w:ascii="Arial" w:hAnsi="Arial" w:cs="Arial"/>
        </w:rPr>
        <w:t xml:space="preserve"> http://cfpa.net/CalFresh/CFPAPublications/PAI-FullReport-2014.pdf.</w:t>
      </w:r>
    </w:p>
    <w:p w:rsidR="00EC47C8" w:rsidRDefault="00EC47C8" w:rsidP="001636FD">
      <w:pPr>
        <w:spacing w:after="0" w:line="240" w:lineRule="auto"/>
        <w:contextualSpacing/>
        <w:rPr>
          <w:rFonts w:ascii="Arial" w:eastAsiaTheme="minorEastAsia" w:hAnsi="Arial" w:cs="Arial"/>
          <w:b/>
          <w:color w:val="000000" w:themeColor="text1"/>
          <w:kern w:val="24"/>
        </w:rPr>
      </w:pPr>
    </w:p>
    <w:p w:rsidR="00614568" w:rsidRPr="006B54DC" w:rsidRDefault="00614568" w:rsidP="006B54DC">
      <w:pPr>
        <w:pStyle w:val="FootnoteText"/>
        <w:rPr>
          <w:rFonts w:ascii="Arial" w:eastAsiaTheme="minorEastAsia" w:hAnsi="Arial" w:cs="Arial"/>
          <w:b/>
          <w:color w:val="000000" w:themeColor="text1"/>
          <w:kern w:val="24"/>
          <w:sz w:val="24"/>
          <w:szCs w:val="24"/>
        </w:rPr>
      </w:pPr>
      <w:r w:rsidRPr="006B54DC">
        <w:rPr>
          <w:rFonts w:ascii="Arial" w:hAnsi="Arial" w:cs="Arial"/>
          <w:sz w:val="24"/>
          <w:szCs w:val="24"/>
        </w:rPr>
        <w:t>Cunnyngham,</w:t>
      </w:r>
      <w:r w:rsidR="0071143B">
        <w:rPr>
          <w:rFonts w:ascii="Arial" w:hAnsi="Arial" w:cs="Arial"/>
          <w:sz w:val="24"/>
          <w:szCs w:val="24"/>
        </w:rPr>
        <w:t xml:space="preserve"> Karen E.,</w:t>
      </w:r>
      <w:r w:rsidRPr="006B54DC">
        <w:rPr>
          <w:rFonts w:ascii="Arial" w:hAnsi="Arial" w:cs="Arial"/>
          <w:sz w:val="24"/>
          <w:szCs w:val="24"/>
        </w:rPr>
        <w:t xml:space="preserve"> </w:t>
      </w:r>
      <w:r w:rsidRPr="006B54DC">
        <w:rPr>
          <w:rFonts w:ascii="Arial" w:hAnsi="Arial" w:cs="Arial"/>
          <w:i/>
          <w:sz w:val="24"/>
          <w:szCs w:val="24"/>
        </w:rPr>
        <w:t>Reaching Those in Need:  State Supplemental Nutrition Assistance Program</w:t>
      </w:r>
      <w:r w:rsidR="006B54DC">
        <w:rPr>
          <w:rFonts w:ascii="Arial" w:hAnsi="Arial" w:cs="Arial"/>
          <w:i/>
          <w:sz w:val="24"/>
          <w:szCs w:val="24"/>
        </w:rPr>
        <w:t xml:space="preserve"> </w:t>
      </w:r>
      <w:r w:rsidRPr="006B54DC">
        <w:rPr>
          <w:rFonts w:ascii="Arial" w:hAnsi="Arial" w:cs="Arial"/>
          <w:i/>
          <w:sz w:val="24"/>
          <w:szCs w:val="24"/>
        </w:rPr>
        <w:t>Participation Rates in 2011</w:t>
      </w:r>
      <w:r w:rsidRPr="006B54DC">
        <w:rPr>
          <w:rFonts w:ascii="Arial" w:hAnsi="Arial" w:cs="Arial"/>
          <w:sz w:val="24"/>
          <w:szCs w:val="24"/>
        </w:rPr>
        <w:t xml:space="preserve">, </w:t>
      </w:r>
      <w:r w:rsidR="006B54DC" w:rsidRPr="006B54DC">
        <w:rPr>
          <w:rFonts w:ascii="Arial" w:hAnsi="Arial" w:cs="Arial"/>
          <w:sz w:val="24"/>
          <w:szCs w:val="24"/>
        </w:rPr>
        <w:t xml:space="preserve">FNS, </w:t>
      </w:r>
      <w:r w:rsidRPr="006B54DC">
        <w:rPr>
          <w:rFonts w:ascii="Arial" w:hAnsi="Arial" w:cs="Arial"/>
          <w:sz w:val="24"/>
          <w:szCs w:val="24"/>
        </w:rPr>
        <w:t>February 2014, http://www.fns.usda.gov/sites/default/files/Reaching2011.pdf</w:t>
      </w:r>
      <w:r w:rsidR="006B54DC" w:rsidRPr="006B54DC">
        <w:rPr>
          <w:rFonts w:ascii="Arial" w:hAnsi="Arial" w:cs="Arial"/>
          <w:sz w:val="24"/>
          <w:szCs w:val="24"/>
        </w:rPr>
        <w:t>.</w:t>
      </w:r>
    </w:p>
    <w:p w:rsidR="00614568" w:rsidRDefault="00614568" w:rsidP="001636FD">
      <w:pPr>
        <w:spacing w:after="0" w:line="240" w:lineRule="auto"/>
        <w:contextualSpacing/>
        <w:rPr>
          <w:rFonts w:ascii="Arial" w:eastAsiaTheme="minorEastAsia" w:hAnsi="Arial" w:cs="Arial"/>
          <w:b/>
          <w:color w:val="000000" w:themeColor="text1"/>
          <w:kern w:val="24"/>
          <w:sz w:val="24"/>
          <w:szCs w:val="24"/>
        </w:rPr>
      </w:pPr>
    </w:p>
    <w:p w:rsidR="00EC47C8" w:rsidRDefault="00EC47C8" w:rsidP="001636FD">
      <w:pPr>
        <w:spacing w:after="0" w:line="240" w:lineRule="auto"/>
        <w:contextualSpacing/>
        <w:rPr>
          <w:rFonts w:ascii="Arial" w:eastAsiaTheme="minorEastAsia" w:hAnsi="Arial" w:cs="Arial"/>
          <w:b/>
          <w:color w:val="000000" w:themeColor="text1"/>
          <w:kern w:val="24"/>
          <w:sz w:val="24"/>
          <w:szCs w:val="24"/>
        </w:rPr>
      </w:pPr>
      <w:r>
        <w:rPr>
          <w:rFonts w:ascii="Arial" w:hAnsi="Arial" w:cs="Arial"/>
        </w:rPr>
        <w:t xml:space="preserve">Food and Nutrition Service (FNS), </w:t>
      </w:r>
      <w:r w:rsidRPr="009A384E">
        <w:rPr>
          <w:rFonts w:ascii="Arial" w:hAnsi="Arial" w:cs="Arial"/>
          <w:i/>
        </w:rPr>
        <w:t>Calculating the Supplemental Nutrition Assistance Program (SNAP) Program Access Index: A Step</w:t>
      </w:r>
      <w:r w:rsidRPr="009A384E">
        <w:rPr>
          <w:rFonts w:ascii="Arial" w:hAnsi="Arial" w:cs="Arial"/>
          <w:i/>
        </w:rPr>
        <w:noBreakHyphen/>
        <w:t>by</w:t>
      </w:r>
      <w:r w:rsidRPr="009A384E">
        <w:rPr>
          <w:rFonts w:ascii="Arial" w:hAnsi="Arial" w:cs="Arial"/>
          <w:i/>
        </w:rPr>
        <w:noBreakHyphen/>
        <w:t>Step Guide for 2012</w:t>
      </w:r>
      <w:r>
        <w:rPr>
          <w:rFonts w:ascii="Arial" w:hAnsi="Arial" w:cs="Arial"/>
        </w:rPr>
        <w:t xml:space="preserve">, February 2014, </w:t>
      </w:r>
      <w:r w:rsidRPr="00FF1CF8">
        <w:rPr>
          <w:rFonts w:ascii="Arial" w:hAnsi="Arial" w:cs="Arial"/>
        </w:rPr>
        <w:t>http://www.fns.usda.gov/sites/default/files/PAI2012.pdf</w:t>
      </w:r>
      <w:r>
        <w:rPr>
          <w:rFonts w:ascii="Arial" w:hAnsi="Arial" w:cs="Arial"/>
        </w:rPr>
        <w:t>.</w:t>
      </w:r>
    </w:p>
    <w:p w:rsidR="00EC47C8" w:rsidRPr="006B54DC" w:rsidRDefault="00EC47C8" w:rsidP="001636FD">
      <w:pPr>
        <w:spacing w:after="0" w:line="240" w:lineRule="auto"/>
        <w:contextualSpacing/>
        <w:rPr>
          <w:rFonts w:ascii="Arial" w:eastAsiaTheme="minorEastAsia" w:hAnsi="Arial" w:cs="Arial"/>
          <w:b/>
          <w:color w:val="000000" w:themeColor="text1"/>
          <w:kern w:val="24"/>
          <w:sz w:val="24"/>
          <w:szCs w:val="24"/>
        </w:rPr>
      </w:pPr>
    </w:p>
    <w:p w:rsidR="00896686" w:rsidRPr="0048273C" w:rsidRDefault="00896686" w:rsidP="001636FD">
      <w:pPr>
        <w:spacing w:after="0" w:line="240" w:lineRule="auto"/>
        <w:contextualSpacing/>
        <w:rPr>
          <w:rFonts w:ascii="Arial" w:hAnsi="Arial" w:cs="Arial"/>
        </w:rPr>
      </w:pPr>
      <w:r w:rsidRPr="00896686">
        <w:rPr>
          <w:rFonts w:ascii="Arial" w:hAnsi="Arial" w:cs="Arial"/>
        </w:rPr>
        <w:t xml:space="preserve">Fortuny, </w:t>
      </w:r>
      <w:r w:rsidR="0071143B" w:rsidRPr="00896686">
        <w:rPr>
          <w:rFonts w:ascii="Arial" w:hAnsi="Arial" w:cs="Arial"/>
        </w:rPr>
        <w:t>Karina</w:t>
      </w:r>
      <w:r w:rsidR="0071143B">
        <w:rPr>
          <w:rFonts w:ascii="Arial" w:hAnsi="Arial" w:cs="Arial"/>
        </w:rPr>
        <w:t>,</w:t>
      </w:r>
      <w:r w:rsidR="0071143B" w:rsidRPr="00896686">
        <w:rPr>
          <w:rFonts w:ascii="Arial" w:hAnsi="Arial" w:cs="Arial"/>
        </w:rPr>
        <w:t xml:space="preserve"> </w:t>
      </w:r>
      <w:r w:rsidRPr="00896686">
        <w:rPr>
          <w:rFonts w:ascii="Arial" w:hAnsi="Arial" w:cs="Arial"/>
        </w:rPr>
        <w:t xml:space="preserve">Randy Capps and Jeffrey S. Passel, </w:t>
      </w:r>
      <w:r w:rsidRPr="00896686">
        <w:rPr>
          <w:rFonts w:ascii="Arial" w:hAnsi="Arial" w:cs="Arial"/>
          <w:i/>
        </w:rPr>
        <w:t>T</w:t>
      </w:r>
      <w:r w:rsidRPr="00896686">
        <w:rPr>
          <w:rFonts w:ascii="Arial" w:hAnsi="Arial" w:cs="Arial"/>
          <w:bCs/>
          <w:i/>
        </w:rPr>
        <w:t>he Characteristics of Unauthorized Immigrants in California, Los Angeles County, and the United States</w:t>
      </w:r>
      <w:r w:rsidRPr="00896686">
        <w:rPr>
          <w:rFonts w:ascii="Arial" w:hAnsi="Arial" w:cs="Arial"/>
          <w:bCs/>
        </w:rPr>
        <w:t>,</w:t>
      </w:r>
      <w:r w:rsidRPr="00896686">
        <w:rPr>
          <w:rFonts w:ascii="Arial" w:hAnsi="Arial" w:cs="Arial"/>
        </w:rPr>
        <w:t xml:space="preserve"> The Urban Institute, March 2007, </w:t>
      </w:r>
      <w:hyperlink r:id="rId9" w:history="1">
        <w:r w:rsidR="000F017F" w:rsidRPr="0048273C">
          <w:rPr>
            <w:rStyle w:val="Hyperlink"/>
            <w:rFonts w:ascii="Arial" w:hAnsi="Arial" w:cs="Arial"/>
            <w:color w:val="auto"/>
            <w:u w:val="none"/>
          </w:rPr>
          <w:t>http://www.urban.org/UploadedPDF/411425_Characteristics_Immigrants.pdf</w:t>
        </w:r>
      </w:hyperlink>
      <w:r w:rsidRPr="0048273C">
        <w:rPr>
          <w:rFonts w:ascii="Arial" w:hAnsi="Arial" w:cs="Arial"/>
        </w:rPr>
        <w:t>.</w:t>
      </w:r>
    </w:p>
    <w:p w:rsidR="00614568" w:rsidRDefault="00614568" w:rsidP="001636FD">
      <w:pPr>
        <w:spacing w:after="0" w:line="240" w:lineRule="auto"/>
        <w:contextualSpacing/>
        <w:rPr>
          <w:rFonts w:ascii="Arial" w:hAnsi="Arial" w:cs="Arial"/>
        </w:rPr>
      </w:pPr>
    </w:p>
    <w:p w:rsidR="00614568" w:rsidRDefault="00614568" w:rsidP="001636FD">
      <w:pPr>
        <w:spacing w:after="0" w:line="240" w:lineRule="auto"/>
        <w:contextualSpacing/>
        <w:rPr>
          <w:rFonts w:ascii="Arial" w:hAnsi="Arial" w:cs="Arial"/>
        </w:rPr>
      </w:pPr>
      <w:r w:rsidRPr="00971655">
        <w:rPr>
          <w:rFonts w:ascii="Arial" w:hAnsi="Arial" w:cs="Arial"/>
        </w:rPr>
        <w:t>Hill</w:t>
      </w:r>
      <w:r w:rsidR="0071143B">
        <w:rPr>
          <w:rFonts w:ascii="Arial" w:hAnsi="Arial" w:cs="Arial"/>
        </w:rPr>
        <w:t>, Laura E.</w:t>
      </w:r>
      <w:r w:rsidRPr="00971655">
        <w:rPr>
          <w:rFonts w:ascii="Arial" w:hAnsi="Arial" w:cs="Arial"/>
        </w:rPr>
        <w:t xml:space="preserve"> and Hans P. Johnson, </w:t>
      </w:r>
      <w:r w:rsidRPr="00971655">
        <w:rPr>
          <w:rFonts w:ascii="Arial" w:hAnsi="Arial" w:cs="Arial"/>
          <w:i/>
        </w:rPr>
        <w:t>Unauthorized Immigrants in California:  Estimates for Counties</w:t>
      </w:r>
      <w:r>
        <w:rPr>
          <w:rFonts w:ascii="Arial" w:hAnsi="Arial" w:cs="Arial"/>
        </w:rPr>
        <w:t>, Public Policy Institute of California</w:t>
      </w:r>
      <w:r w:rsidRPr="00971655">
        <w:rPr>
          <w:rFonts w:ascii="Arial" w:hAnsi="Arial" w:cs="Arial"/>
        </w:rPr>
        <w:t>, July 2011.</w:t>
      </w:r>
    </w:p>
    <w:p w:rsidR="0071143B" w:rsidRDefault="0071143B" w:rsidP="001636FD">
      <w:pPr>
        <w:spacing w:after="0" w:line="240" w:lineRule="auto"/>
        <w:contextualSpacing/>
        <w:rPr>
          <w:rFonts w:ascii="Arial" w:hAnsi="Arial" w:cs="Arial"/>
        </w:rPr>
      </w:pPr>
    </w:p>
    <w:p w:rsidR="0071143B" w:rsidRPr="0048273C" w:rsidRDefault="0071143B" w:rsidP="001636FD">
      <w:pPr>
        <w:spacing w:after="0" w:line="240" w:lineRule="auto"/>
        <w:contextualSpacing/>
        <w:rPr>
          <w:rFonts w:ascii="Arial" w:hAnsi="Arial" w:cs="Arial"/>
          <w:sz w:val="24"/>
          <w:szCs w:val="24"/>
        </w:rPr>
      </w:pPr>
      <w:r w:rsidRPr="0071143B">
        <w:rPr>
          <w:rFonts w:ascii="Arial" w:hAnsi="Arial" w:cs="Arial"/>
          <w:sz w:val="24"/>
          <w:szCs w:val="24"/>
        </w:rPr>
        <w:t xml:space="preserve">Hoefer, </w:t>
      </w:r>
      <w:r>
        <w:rPr>
          <w:rFonts w:ascii="Arial" w:hAnsi="Arial" w:cs="Arial"/>
          <w:sz w:val="24"/>
          <w:szCs w:val="24"/>
        </w:rPr>
        <w:t xml:space="preserve">Michael, </w:t>
      </w:r>
      <w:r w:rsidRPr="0071143B">
        <w:rPr>
          <w:rFonts w:ascii="Arial" w:hAnsi="Arial" w:cs="Arial"/>
          <w:sz w:val="24"/>
          <w:szCs w:val="24"/>
        </w:rPr>
        <w:t xml:space="preserve">Nancy Rytina and Bryan Baker, </w:t>
      </w:r>
      <w:r w:rsidRPr="0071143B">
        <w:rPr>
          <w:rFonts w:ascii="Arial" w:hAnsi="Arial" w:cs="Arial"/>
          <w:i/>
          <w:sz w:val="24"/>
          <w:szCs w:val="24"/>
        </w:rPr>
        <w:t>Estimates of the Unauthorized Immigrant Population Residing in the United States: January 2011</w:t>
      </w:r>
      <w:r w:rsidRPr="0071143B">
        <w:rPr>
          <w:rFonts w:ascii="Arial" w:hAnsi="Arial" w:cs="Arial"/>
          <w:sz w:val="24"/>
          <w:szCs w:val="24"/>
        </w:rPr>
        <w:t xml:space="preserve">, Department of Homeland Security, </w:t>
      </w:r>
      <w:r w:rsidRPr="0048273C">
        <w:rPr>
          <w:rFonts w:ascii="Arial" w:hAnsi="Arial" w:cs="Arial"/>
          <w:sz w:val="24"/>
          <w:szCs w:val="24"/>
        </w:rPr>
        <w:t xml:space="preserve">March 2012, </w:t>
      </w:r>
      <w:hyperlink r:id="rId10" w:history="1">
        <w:r w:rsidR="00EC47C8" w:rsidRPr="0048273C">
          <w:rPr>
            <w:rStyle w:val="Hyperlink"/>
            <w:rFonts w:ascii="Arial" w:hAnsi="Arial" w:cs="Arial"/>
            <w:color w:val="auto"/>
            <w:sz w:val="24"/>
            <w:szCs w:val="24"/>
            <w:u w:val="none"/>
          </w:rPr>
          <w:t>http://www.dhs.gov/xlibrary/assets/statistics/publications/ois_ill_pe_2011.pdf</w:t>
        </w:r>
      </w:hyperlink>
      <w:r w:rsidRPr="0048273C">
        <w:rPr>
          <w:rFonts w:ascii="Arial" w:hAnsi="Arial" w:cs="Arial"/>
          <w:sz w:val="24"/>
          <w:szCs w:val="24"/>
        </w:rPr>
        <w:t>.</w:t>
      </w:r>
    </w:p>
    <w:p w:rsidR="00EC47C8" w:rsidRPr="00EC47C8" w:rsidRDefault="00EC47C8" w:rsidP="001636FD">
      <w:pPr>
        <w:spacing w:after="0" w:line="240" w:lineRule="auto"/>
        <w:contextualSpacing/>
        <w:rPr>
          <w:rFonts w:ascii="Arial" w:hAnsi="Arial" w:cs="Arial"/>
          <w:sz w:val="24"/>
          <w:szCs w:val="24"/>
        </w:rPr>
      </w:pPr>
    </w:p>
    <w:p w:rsidR="00EC47C8" w:rsidRPr="00EC47C8" w:rsidRDefault="00EC47C8" w:rsidP="00EC47C8">
      <w:pPr>
        <w:spacing w:after="0" w:line="240" w:lineRule="auto"/>
        <w:rPr>
          <w:sz w:val="24"/>
          <w:szCs w:val="24"/>
        </w:rPr>
      </w:pPr>
      <w:r w:rsidRPr="00EC47C8">
        <w:rPr>
          <w:rFonts w:ascii="Arial" w:hAnsi="Arial" w:cs="Arial"/>
          <w:sz w:val="24"/>
          <w:szCs w:val="24"/>
        </w:rPr>
        <w:t xml:space="preserve">Legislative Analyst’s Office, </w:t>
      </w:r>
      <w:r w:rsidRPr="00EC47C8">
        <w:rPr>
          <w:rFonts w:ascii="Arial" w:hAnsi="Arial" w:cs="Arial"/>
          <w:i/>
          <w:sz w:val="24"/>
          <w:szCs w:val="24"/>
        </w:rPr>
        <w:t xml:space="preserve">CalFresh Program </w:t>
      </w:r>
      <w:r w:rsidRPr="00EC47C8">
        <w:rPr>
          <w:rFonts w:ascii="Arial" w:hAnsi="Arial" w:cs="Arial"/>
          <w:sz w:val="24"/>
          <w:szCs w:val="24"/>
        </w:rPr>
        <w:t>Overview, March 11, 2014, http://www.lao.ca.gov/handouts/socservices/2014/CalFresh-Overview-031114.pdf.</w:t>
      </w:r>
    </w:p>
    <w:p w:rsidR="00EC47C8" w:rsidRPr="00EC47C8" w:rsidRDefault="00EC47C8" w:rsidP="001636FD">
      <w:pPr>
        <w:spacing w:after="0" w:line="240" w:lineRule="auto"/>
        <w:contextualSpacing/>
        <w:rPr>
          <w:rFonts w:ascii="Arial" w:hAnsi="Arial" w:cs="Arial"/>
          <w:sz w:val="24"/>
          <w:szCs w:val="24"/>
        </w:rPr>
      </w:pPr>
    </w:p>
    <w:p w:rsidR="000F017F" w:rsidRPr="00896686" w:rsidRDefault="000F017F" w:rsidP="001636FD">
      <w:pPr>
        <w:spacing w:after="0" w:line="240" w:lineRule="auto"/>
        <w:contextualSpacing/>
        <w:rPr>
          <w:rFonts w:ascii="Arial" w:eastAsiaTheme="minorEastAsia" w:hAnsi="Arial" w:cs="Arial"/>
          <w:b/>
          <w:color w:val="000000" w:themeColor="text1"/>
          <w:kern w:val="24"/>
        </w:rPr>
      </w:pPr>
      <w:r w:rsidRPr="003D4972">
        <w:rPr>
          <w:rFonts w:ascii="Arial" w:hAnsi="Arial" w:cs="Arial"/>
        </w:rPr>
        <w:t xml:space="preserve">MaCurdy, </w:t>
      </w:r>
      <w:r w:rsidR="0071143B">
        <w:rPr>
          <w:rFonts w:ascii="Arial" w:hAnsi="Arial" w:cs="Arial"/>
        </w:rPr>
        <w:t xml:space="preserve">Thomas, </w:t>
      </w:r>
      <w:r>
        <w:rPr>
          <w:rFonts w:ascii="Arial" w:hAnsi="Arial" w:cs="Arial"/>
        </w:rPr>
        <w:t>David</w:t>
      </w:r>
      <w:r w:rsidRPr="003D4972">
        <w:rPr>
          <w:rFonts w:ascii="Arial" w:hAnsi="Arial" w:cs="Arial"/>
        </w:rPr>
        <w:t xml:space="preserve"> Mancuso and Margaret O’Brien-Strain, </w:t>
      </w:r>
      <w:r w:rsidRPr="003D4972">
        <w:rPr>
          <w:rFonts w:ascii="Arial" w:hAnsi="Arial" w:cs="Arial"/>
          <w:i/>
        </w:rPr>
        <w:t>The Rise and Fall of California’s Welfare Caseload:  Types and Regions, 1980 - 1999</w:t>
      </w:r>
      <w:r w:rsidRPr="003D4972">
        <w:rPr>
          <w:rFonts w:ascii="Arial" w:hAnsi="Arial" w:cs="Arial"/>
        </w:rPr>
        <w:t xml:space="preserve">, Public Policy Institute of California, </w:t>
      </w:r>
      <w:r>
        <w:rPr>
          <w:rFonts w:ascii="Arial" w:hAnsi="Arial" w:cs="Arial"/>
        </w:rPr>
        <w:t xml:space="preserve">June 2000, </w:t>
      </w:r>
      <w:r w:rsidRPr="00D45B7B">
        <w:rPr>
          <w:rFonts w:ascii="Arial" w:hAnsi="Arial" w:cs="Arial"/>
        </w:rPr>
        <w:t>http://www.ppic.org/main/publication.asp?i=99</w:t>
      </w:r>
      <w:r>
        <w:rPr>
          <w:rFonts w:ascii="Arial" w:hAnsi="Arial" w:cs="Arial"/>
        </w:rPr>
        <w:t>.</w:t>
      </w:r>
    </w:p>
    <w:p w:rsidR="00896686" w:rsidRPr="00896686" w:rsidRDefault="00896686" w:rsidP="001636FD">
      <w:pPr>
        <w:spacing w:after="0" w:line="240" w:lineRule="auto"/>
        <w:contextualSpacing/>
        <w:rPr>
          <w:rFonts w:ascii="Arial" w:eastAsiaTheme="minorEastAsia" w:hAnsi="Arial" w:cs="Arial"/>
          <w:b/>
          <w:color w:val="000000" w:themeColor="text1"/>
          <w:kern w:val="24"/>
        </w:rPr>
      </w:pPr>
    </w:p>
    <w:p w:rsidR="00F346FF" w:rsidRPr="00896686" w:rsidRDefault="00116893" w:rsidP="00926B34">
      <w:pPr>
        <w:rPr>
          <w:rFonts w:ascii="Arial" w:hAnsi="Arial" w:cs="Arial"/>
        </w:rPr>
      </w:pPr>
      <w:r w:rsidRPr="00896686">
        <w:rPr>
          <w:rFonts w:ascii="Arial" w:hAnsi="Arial" w:cs="Arial"/>
        </w:rPr>
        <w:t>Passel</w:t>
      </w:r>
      <w:r w:rsidR="0071143B">
        <w:rPr>
          <w:rFonts w:ascii="Arial" w:hAnsi="Arial" w:cs="Arial"/>
        </w:rPr>
        <w:t>, Jeffrey S.</w:t>
      </w:r>
      <w:r w:rsidRPr="00896686">
        <w:rPr>
          <w:rFonts w:ascii="Arial" w:hAnsi="Arial" w:cs="Arial"/>
        </w:rPr>
        <w:t xml:space="preserve"> and D’Vera Cohn</w:t>
      </w:r>
      <w:r w:rsidRPr="00896686">
        <w:rPr>
          <w:rFonts w:ascii="Arial" w:hAnsi="Arial" w:cs="Arial"/>
          <w:i/>
        </w:rPr>
        <w:t>, A Portrait of Unauthorized Immigrants in the United States</w:t>
      </w:r>
      <w:r w:rsidRPr="00896686">
        <w:rPr>
          <w:rFonts w:ascii="Arial" w:hAnsi="Arial" w:cs="Arial"/>
        </w:rPr>
        <w:t>, April 14, 2009, http://pewhispanic.org/files/reports/107.pdf.</w:t>
      </w:r>
    </w:p>
    <w:p w:rsidR="00E3675C" w:rsidRPr="00896686" w:rsidRDefault="000F017F" w:rsidP="000F017F">
      <w:pPr>
        <w:spacing w:line="240" w:lineRule="auto"/>
        <w:rPr>
          <w:rFonts w:ascii="Arial" w:hAnsi="Arial" w:cs="Arial"/>
        </w:rPr>
      </w:pPr>
      <w:r w:rsidRPr="00CF5541">
        <w:rPr>
          <w:rFonts w:ascii="Arial" w:hAnsi="Arial" w:cs="Arial"/>
        </w:rPr>
        <w:t>Shimada</w:t>
      </w:r>
      <w:r w:rsidR="0071143B">
        <w:rPr>
          <w:rFonts w:ascii="Arial" w:hAnsi="Arial" w:cs="Arial"/>
        </w:rPr>
        <w:t xml:space="preserve">, </w:t>
      </w:r>
      <w:r w:rsidR="0071143B" w:rsidRPr="00CF5541">
        <w:rPr>
          <w:rFonts w:ascii="Arial" w:hAnsi="Arial" w:cs="Arial"/>
        </w:rPr>
        <w:t>Tia</w:t>
      </w:r>
      <w:r w:rsidRPr="00CF5541">
        <w:rPr>
          <w:rFonts w:ascii="Arial" w:hAnsi="Arial" w:cs="Arial"/>
        </w:rPr>
        <w:t>,</w:t>
      </w:r>
      <w:r w:rsidRPr="003D4972">
        <w:rPr>
          <w:rFonts w:ascii="Arial" w:hAnsi="Arial" w:cs="Arial"/>
          <w:i/>
        </w:rPr>
        <w:t xml:space="preserve"> Measuring County CalFresh Performance in 2010:  The Program Access Index</w:t>
      </w:r>
      <w:r>
        <w:rPr>
          <w:rFonts w:ascii="Arial" w:hAnsi="Arial" w:cs="Arial"/>
        </w:rPr>
        <w:t xml:space="preserve">, </w:t>
      </w:r>
      <w:r w:rsidRPr="003D4972">
        <w:rPr>
          <w:rFonts w:ascii="Arial" w:hAnsi="Arial" w:cs="Arial"/>
        </w:rPr>
        <w:t>March 20</w:t>
      </w:r>
      <w:r>
        <w:rPr>
          <w:rFonts w:ascii="Arial" w:hAnsi="Arial" w:cs="Arial"/>
        </w:rPr>
        <w:t xml:space="preserve">13, California Food Policy Advocates, </w:t>
      </w:r>
      <w:r w:rsidRPr="00D45B7B">
        <w:rPr>
          <w:rFonts w:ascii="Arial" w:hAnsi="Arial" w:cs="Arial"/>
        </w:rPr>
        <w:t>http://cfpa.net/CalFresh/CFPAPublications/PAI-FullReport-2012.pdf</w:t>
      </w:r>
      <w:r>
        <w:rPr>
          <w:rFonts w:ascii="Arial" w:hAnsi="Arial" w:cs="Arial"/>
        </w:rPr>
        <w:t>.</w:t>
      </w:r>
    </w:p>
    <w:p w:rsidR="00116893" w:rsidRPr="00896686" w:rsidRDefault="00116893" w:rsidP="00084E42">
      <w:pPr>
        <w:spacing w:line="240" w:lineRule="auto"/>
        <w:rPr>
          <w:rFonts w:ascii="Arial" w:hAnsi="Arial" w:cs="Arial"/>
        </w:rPr>
      </w:pPr>
      <w:r w:rsidRPr="00896686">
        <w:rPr>
          <w:rFonts w:ascii="Arial" w:hAnsi="Arial" w:cs="Arial"/>
          <w:color w:val="000000" w:themeColor="text1"/>
        </w:rPr>
        <w:t xml:space="preserve">Wallace, </w:t>
      </w:r>
      <w:r w:rsidR="0071143B" w:rsidRPr="00896686">
        <w:rPr>
          <w:rFonts w:ascii="Arial" w:hAnsi="Arial" w:cs="Arial"/>
          <w:color w:val="000000" w:themeColor="text1"/>
        </w:rPr>
        <w:t>Steve</w:t>
      </w:r>
      <w:r w:rsidR="0071143B">
        <w:rPr>
          <w:rFonts w:ascii="Arial" w:hAnsi="Arial" w:cs="Arial"/>
          <w:color w:val="000000" w:themeColor="text1"/>
        </w:rPr>
        <w:t xml:space="preserve">n P., </w:t>
      </w:r>
      <w:r w:rsidRPr="00896686">
        <w:rPr>
          <w:rFonts w:ascii="Arial" w:hAnsi="Arial" w:cs="Arial"/>
          <w:color w:val="000000" w:themeColor="text1"/>
        </w:rPr>
        <w:t>Jacqueline Torres, Tabashi</w:t>
      </w:r>
      <w:r w:rsidR="00084E42" w:rsidRPr="00896686">
        <w:rPr>
          <w:rFonts w:ascii="Arial" w:hAnsi="Arial" w:cs="Arial"/>
          <w:color w:val="000000" w:themeColor="text1"/>
        </w:rPr>
        <w:t>r Sadegh-Nobari, Nadereh Pourat and</w:t>
      </w:r>
      <w:r w:rsidRPr="00896686">
        <w:rPr>
          <w:rFonts w:ascii="Arial" w:hAnsi="Arial" w:cs="Arial"/>
          <w:color w:val="000000" w:themeColor="text1"/>
        </w:rPr>
        <w:t xml:space="preserve"> E. Richard Brown, </w:t>
      </w:r>
      <w:r w:rsidR="00084E42" w:rsidRPr="00896686">
        <w:rPr>
          <w:rFonts w:ascii="Arial" w:hAnsi="Arial" w:cs="Arial"/>
          <w:i/>
          <w:color w:val="000000" w:themeColor="text1"/>
        </w:rPr>
        <w:t>Undocumented Immigrants and Health Care Reform</w:t>
      </w:r>
      <w:r w:rsidR="00084E42" w:rsidRPr="00896686">
        <w:rPr>
          <w:rFonts w:ascii="Arial" w:hAnsi="Arial" w:cs="Arial"/>
          <w:color w:val="000000" w:themeColor="text1"/>
        </w:rPr>
        <w:t xml:space="preserve">, UCLA Center for Health Policy Research, </w:t>
      </w:r>
      <w:r w:rsidRPr="00896686">
        <w:rPr>
          <w:rFonts w:ascii="Arial" w:hAnsi="Arial" w:cs="Arial"/>
          <w:color w:val="000000" w:themeColor="text1"/>
        </w:rPr>
        <w:t xml:space="preserve">August </w:t>
      </w:r>
      <w:r w:rsidR="00084E42" w:rsidRPr="00896686">
        <w:rPr>
          <w:rFonts w:ascii="Arial" w:hAnsi="Arial" w:cs="Arial"/>
        </w:rPr>
        <w:t xml:space="preserve">31, 2012, </w:t>
      </w:r>
      <w:hyperlink r:id="rId11" w:history="1">
        <w:r w:rsidRPr="00896686">
          <w:rPr>
            <w:rStyle w:val="Hyperlink"/>
            <w:rFonts w:ascii="Arial" w:hAnsi="Arial" w:cs="Arial"/>
            <w:color w:val="auto"/>
            <w:u w:val="none"/>
          </w:rPr>
          <w:t>http://healthpolicy.ucla.edu/publications/Documents/PDF/undocumentedreport-aug2013.pdf</w:t>
        </w:r>
      </w:hyperlink>
      <w:r w:rsidR="00084E42" w:rsidRPr="00896686">
        <w:rPr>
          <w:rStyle w:val="Hyperlink"/>
          <w:rFonts w:ascii="Arial" w:hAnsi="Arial" w:cs="Arial"/>
          <w:color w:val="auto"/>
          <w:u w:val="none"/>
        </w:rPr>
        <w:t>.</w:t>
      </w:r>
    </w:p>
    <w:p w:rsidR="0012017B" w:rsidRPr="00896686" w:rsidRDefault="0012017B">
      <w:pPr>
        <w:rPr>
          <w:rFonts w:ascii="Arial" w:hAnsi="Arial" w:cs="Arial"/>
        </w:rPr>
      </w:pPr>
    </w:p>
    <w:p w:rsidR="0012017B" w:rsidRPr="00896686" w:rsidRDefault="0012017B">
      <w:pPr>
        <w:rPr>
          <w:rFonts w:ascii="Arial" w:hAnsi="Arial" w:cs="Arial"/>
        </w:rPr>
      </w:pPr>
    </w:p>
    <w:p w:rsidR="00E3675C" w:rsidRPr="00896686" w:rsidRDefault="00E3675C" w:rsidP="00E3675C">
      <w:pPr>
        <w:rPr>
          <w:rFonts w:ascii="Arial" w:hAnsi="Arial" w:cs="Arial"/>
        </w:rPr>
      </w:pPr>
    </w:p>
    <w:sectPr w:rsidR="00E3675C" w:rsidRPr="00896686" w:rsidSect="00C35E28">
      <w:headerReference w:type="default" r:id="rId12"/>
      <w:footerReference w:type="default" r:id="rId13"/>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07" w:rsidRDefault="00496907" w:rsidP="00757535">
      <w:pPr>
        <w:spacing w:after="0" w:line="240" w:lineRule="auto"/>
      </w:pPr>
      <w:r>
        <w:separator/>
      </w:r>
    </w:p>
  </w:endnote>
  <w:endnote w:type="continuationSeparator" w:id="0">
    <w:p w:rsidR="00496907" w:rsidRDefault="00496907" w:rsidP="007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w:altName w:val="Lucid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788689"/>
      <w:docPartObj>
        <w:docPartGallery w:val="Page Numbers (Bottom of Page)"/>
        <w:docPartUnique/>
      </w:docPartObj>
    </w:sdtPr>
    <w:sdtEndPr>
      <w:rPr>
        <w:rFonts w:ascii="Arial" w:hAnsi="Arial" w:cs="Arial"/>
        <w:noProof/>
      </w:rPr>
    </w:sdtEndPr>
    <w:sdtContent>
      <w:p w:rsidR="00115DED" w:rsidRPr="00115DED" w:rsidRDefault="00115DED">
        <w:pPr>
          <w:pStyle w:val="Footer"/>
          <w:jc w:val="center"/>
          <w:rPr>
            <w:rFonts w:ascii="Arial" w:hAnsi="Arial" w:cs="Arial"/>
          </w:rPr>
        </w:pPr>
        <w:r w:rsidRPr="00115DED">
          <w:rPr>
            <w:rFonts w:ascii="Arial" w:hAnsi="Arial" w:cs="Arial"/>
          </w:rPr>
          <w:fldChar w:fldCharType="begin"/>
        </w:r>
        <w:r w:rsidRPr="00115DED">
          <w:rPr>
            <w:rFonts w:ascii="Arial" w:hAnsi="Arial" w:cs="Arial"/>
          </w:rPr>
          <w:instrText xml:space="preserve"> PAGE   \* MERGEFORMAT </w:instrText>
        </w:r>
        <w:r w:rsidRPr="00115DED">
          <w:rPr>
            <w:rFonts w:ascii="Arial" w:hAnsi="Arial" w:cs="Arial"/>
          </w:rPr>
          <w:fldChar w:fldCharType="separate"/>
        </w:r>
        <w:r w:rsidR="00E71D37">
          <w:rPr>
            <w:rFonts w:ascii="Arial" w:hAnsi="Arial" w:cs="Arial"/>
            <w:noProof/>
          </w:rPr>
          <w:t>0</w:t>
        </w:r>
        <w:r w:rsidRPr="00115DED">
          <w:rPr>
            <w:rFonts w:ascii="Arial" w:hAnsi="Arial" w:cs="Arial"/>
            <w:noProof/>
          </w:rPr>
          <w:fldChar w:fldCharType="end"/>
        </w:r>
      </w:p>
    </w:sdtContent>
  </w:sdt>
  <w:p w:rsidR="005827AE" w:rsidRDefault="00582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07" w:rsidRDefault="00496907" w:rsidP="00757535">
      <w:pPr>
        <w:spacing w:after="0" w:line="240" w:lineRule="auto"/>
      </w:pPr>
      <w:r>
        <w:separator/>
      </w:r>
    </w:p>
  </w:footnote>
  <w:footnote w:type="continuationSeparator" w:id="0">
    <w:p w:rsidR="00496907" w:rsidRDefault="00496907" w:rsidP="00757535">
      <w:pPr>
        <w:spacing w:after="0" w:line="240" w:lineRule="auto"/>
      </w:pPr>
      <w:r>
        <w:continuationSeparator/>
      </w:r>
    </w:p>
  </w:footnote>
  <w:footnote w:id="1">
    <w:p w:rsidR="009A384E" w:rsidRPr="00540857" w:rsidRDefault="009A384E" w:rsidP="009A384E">
      <w:pPr>
        <w:pStyle w:val="FootnoteText"/>
        <w:rPr>
          <w:rFonts w:ascii="Arial" w:hAnsi="Arial" w:cs="Arial"/>
          <w:color w:val="FF0000"/>
        </w:rPr>
      </w:pPr>
      <w:r w:rsidRPr="00540857">
        <w:rPr>
          <w:rStyle w:val="FootnoteReference"/>
          <w:rFonts w:ascii="Arial" w:hAnsi="Arial" w:cs="Arial"/>
        </w:rPr>
        <w:footnoteRef/>
      </w:r>
      <w:r w:rsidRPr="00540857">
        <w:rPr>
          <w:rFonts w:ascii="Arial" w:hAnsi="Arial" w:cs="Arial"/>
        </w:rPr>
        <w:t xml:space="preserve"> </w:t>
      </w:r>
      <w:r>
        <w:rPr>
          <w:rFonts w:ascii="Arial" w:hAnsi="Arial" w:cs="Arial"/>
        </w:rPr>
        <w:t>FNS</w:t>
      </w:r>
      <w:r w:rsidR="00EC47C8">
        <w:rPr>
          <w:rFonts w:ascii="Arial" w:hAnsi="Arial" w:cs="Arial"/>
        </w:rPr>
        <w:t xml:space="preserve"> 2014. </w:t>
      </w:r>
    </w:p>
  </w:footnote>
  <w:footnote w:id="2">
    <w:p w:rsidR="00254763" w:rsidRPr="00254763" w:rsidRDefault="00254763" w:rsidP="00254763">
      <w:pPr>
        <w:pStyle w:val="FootnoteText"/>
        <w:rPr>
          <w:rFonts w:ascii="Arial" w:hAnsi="Arial" w:cs="Arial"/>
        </w:rPr>
      </w:pPr>
      <w:r w:rsidRPr="00254763">
        <w:rPr>
          <w:rStyle w:val="FootnoteReference"/>
          <w:rFonts w:ascii="Arial" w:hAnsi="Arial" w:cs="Arial"/>
        </w:rPr>
        <w:footnoteRef/>
      </w:r>
      <w:r w:rsidRPr="00254763">
        <w:rPr>
          <w:rFonts w:ascii="Arial" w:hAnsi="Arial" w:cs="Arial"/>
        </w:rPr>
        <w:t xml:space="preserve"> Birnbach and Shimada</w:t>
      </w:r>
      <w:r w:rsidR="00EC47C8">
        <w:rPr>
          <w:rFonts w:ascii="Arial" w:hAnsi="Arial" w:cs="Arial"/>
        </w:rPr>
        <w:t xml:space="preserve"> 2014. </w:t>
      </w:r>
    </w:p>
  </w:footnote>
  <w:footnote w:id="3">
    <w:p w:rsidR="00F92938" w:rsidRDefault="00F92938" w:rsidP="00C27C85">
      <w:pPr>
        <w:spacing w:after="0" w:line="240" w:lineRule="auto"/>
      </w:pPr>
      <w:r w:rsidRPr="001579F7">
        <w:rPr>
          <w:rStyle w:val="FootnoteReference"/>
          <w:rFonts w:ascii="Arial" w:hAnsi="Arial" w:cs="Arial"/>
          <w:sz w:val="20"/>
          <w:szCs w:val="20"/>
        </w:rPr>
        <w:footnoteRef/>
      </w:r>
      <w:r w:rsidRPr="001579F7">
        <w:rPr>
          <w:rFonts w:ascii="Arial" w:hAnsi="Arial" w:cs="Arial"/>
          <w:sz w:val="20"/>
          <w:szCs w:val="20"/>
        </w:rPr>
        <w:t xml:space="preserve"> L</w:t>
      </w:r>
      <w:r w:rsidR="00D81E3D">
        <w:rPr>
          <w:rFonts w:ascii="Arial" w:hAnsi="Arial" w:cs="Arial"/>
          <w:sz w:val="20"/>
          <w:szCs w:val="20"/>
        </w:rPr>
        <w:t xml:space="preserve">egislative </w:t>
      </w:r>
      <w:r w:rsidRPr="001579F7">
        <w:rPr>
          <w:rFonts w:ascii="Arial" w:hAnsi="Arial" w:cs="Arial"/>
          <w:sz w:val="20"/>
          <w:szCs w:val="20"/>
        </w:rPr>
        <w:t>A</w:t>
      </w:r>
      <w:r w:rsidR="00D81E3D">
        <w:rPr>
          <w:rFonts w:ascii="Arial" w:hAnsi="Arial" w:cs="Arial"/>
          <w:sz w:val="20"/>
          <w:szCs w:val="20"/>
        </w:rPr>
        <w:t xml:space="preserve">nalyst’s </w:t>
      </w:r>
      <w:r w:rsidRPr="001579F7">
        <w:rPr>
          <w:rFonts w:ascii="Arial" w:hAnsi="Arial" w:cs="Arial"/>
          <w:sz w:val="20"/>
          <w:szCs w:val="20"/>
        </w:rPr>
        <w:t>O</w:t>
      </w:r>
      <w:r w:rsidR="00D81E3D">
        <w:rPr>
          <w:rFonts w:ascii="Arial" w:hAnsi="Arial" w:cs="Arial"/>
          <w:sz w:val="20"/>
          <w:szCs w:val="20"/>
        </w:rPr>
        <w:t xml:space="preserve">ffice 2014. </w:t>
      </w:r>
    </w:p>
  </w:footnote>
  <w:footnote w:id="4">
    <w:p w:rsidR="00C27C85" w:rsidRPr="00971655" w:rsidRDefault="00C27C85" w:rsidP="00C27C85">
      <w:pPr>
        <w:pStyle w:val="FootnoteText"/>
        <w:rPr>
          <w:rFonts w:ascii="Arial" w:hAnsi="Arial" w:cs="Arial"/>
        </w:rPr>
      </w:pPr>
      <w:r w:rsidRPr="00971655">
        <w:rPr>
          <w:rStyle w:val="FootnoteReference"/>
          <w:rFonts w:ascii="Arial" w:hAnsi="Arial" w:cs="Arial"/>
        </w:rPr>
        <w:footnoteRef/>
      </w:r>
      <w:r w:rsidR="00614568">
        <w:rPr>
          <w:rFonts w:ascii="Arial" w:hAnsi="Arial" w:cs="Arial"/>
        </w:rPr>
        <w:t xml:space="preserve"> Hill and Hans P. Johnson </w:t>
      </w:r>
      <w:r w:rsidRPr="00971655">
        <w:rPr>
          <w:rFonts w:ascii="Arial" w:hAnsi="Arial" w:cs="Arial"/>
        </w:rPr>
        <w:t>2011.</w:t>
      </w:r>
    </w:p>
  </w:footnote>
  <w:footnote w:id="5">
    <w:p w:rsidR="00C27C85" w:rsidRPr="00035350" w:rsidRDefault="00C27C85" w:rsidP="00C27C85">
      <w:pPr>
        <w:pStyle w:val="FootnoteText"/>
        <w:rPr>
          <w:rFonts w:ascii="Arial" w:hAnsi="Arial" w:cs="Arial"/>
        </w:rPr>
      </w:pPr>
      <w:r w:rsidRPr="00035350">
        <w:rPr>
          <w:rStyle w:val="FootnoteReference"/>
          <w:rFonts w:ascii="Arial" w:hAnsi="Arial" w:cs="Arial"/>
        </w:rPr>
        <w:footnoteRef/>
      </w:r>
      <w:r w:rsidRPr="00035350">
        <w:rPr>
          <w:rFonts w:ascii="Arial" w:hAnsi="Arial" w:cs="Arial"/>
        </w:rPr>
        <w:t xml:space="preserve"> </w:t>
      </w:r>
      <w:r>
        <w:rPr>
          <w:rFonts w:ascii="Arial" w:hAnsi="Arial" w:cs="Arial"/>
        </w:rPr>
        <w:t xml:space="preserve">See, for example, </w:t>
      </w:r>
      <w:r w:rsidRPr="00035350">
        <w:rPr>
          <w:rFonts w:ascii="Arial" w:hAnsi="Arial" w:cs="Arial"/>
        </w:rPr>
        <w:t>Hill and Johnson 2011.</w:t>
      </w:r>
    </w:p>
  </w:footnote>
  <w:footnote w:id="6">
    <w:p w:rsidR="000216DA" w:rsidRPr="006C503D" w:rsidRDefault="000216DA" w:rsidP="00F52101">
      <w:pPr>
        <w:pStyle w:val="FootnoteText"/>
        <w:rPr>
          <w:rStyle w:val="FootnoteReference"/>
          <w:rFonts w:ascii="Arial" w:hAnsi="Arial" w:cs="Arial"/>
          <w:color w:val="FF0000"/>
          <w:vertAlign w:val="baseline"/>
        </w:rPr>
      </w:pPr>
      <w:r w:rsidRPr="00C02939">
        <w:rPr>
          <w:rStyle w:val="FootnoteReference"/>
          <w:rFonts w:ascii="Arial" w:hAnsi="Arial" w:cs="Arial"/>
        </w:rPr>
        <w:footnoteRef/>
      </w:r>
      <w:r w:rsidRPr="004F7A4E">
        <w:rPr>
          <w:rStyle w:val="FootnoteReference"/>
          <w:rFonts w:ascii="Arial" w:hAnsi="Arial" w:cs="Arial"/>
          <w:vertAlign w:val="baseline"/>
        </w:rPr>
        <w:t xml:space="preserve"> </w:t>
      </w:r>
      <w:r w:rsidR="00F12909" w:rsidRPr="00F12909">
        <w:rPr>
          <w:rFonts w:ascii="Arial" w:hAnsi="Arial" w:cs="Arial"/>
        </w:rPr>
        <w:t>FNS 2014.</w:t>
      </w:r>
      <w:r w:rsidR="005D7317">
        <w:rPr>
          <w:rFonts w:ascii="Arial" w:hAnsi="Arial" w:cs="Arial"/>
        </w:rPr>
        <w:t xml:space="preserve">  The FDPIR is the Food Distribution Program on Indian Reservations.</w:t>
      </w:r>
    </w:p>
  </w:footnote>
  <w:footnote w:id="7">
    <w:p w:rsidR="000216DA" w:rsidRPr="006C503D" w:rsidRDefault="000216DA" w:rsidP="00F52101">
      <w:pPr>
        <w:pStyle w:val="FootnoteText"/>
        <w:rPr>
          <w:rFonts w:ascii="Arial" w:hAnsi="Arial" w:cs="Arial"/>
          <w:color w:val="FF0000"/>
        </w:rPr>
      </w:pPr>
      <w:r w:rsidRPr="004F7A4E">
        <w:rPr>
          <w:rStyle w:val="FootnoteReference"/>
          <w:rFonts w:ascii="Arial" w:hAnsi="Arial" w:cs="Arial"/>
        </w:rPr>
        <w:footnoteRef/>
      </w:r>
      <w:r w:rsidR="0071143B">
        <w:rPr>
          <w:rFonts w:ascii="Arial" w:hAnsi="Arial" w:cs="Arial"/>
        </w:rPr>
        <w:t xml:space="preserve"> </w:t>
      </w:r>
      <w:r w:rsidRPr="004F7A4E">
        <w:rPr>
          <w:rFonts w:ascii="Arial" w:hAnsi="Arial" w:cs="Arial"/>
        </w:rPr>
        <w:t>Cunnyngham</w:t>
      </w:r>
      <w:r w:rsidR="0071143B">
        <w:rPr>
          <w:rFonts w:ascii="Arial" w:hAnsi="Arial" w:cs="Arial"/>
        </w:rPr>
        <w:t xml:space="preserve"> 2014. </w:t>
      </w:r>
    </w:p>
  </w:footnote>
  <w:footnote w:id="8">
    <w:p w:rsidR="000216DA" w:rsidRPr="004A54F9" w:rsidRDefault="000216DA" w:rsidP="00B560E6">
      <w:pPr>
        <w:autoSpaceDE w:val="0"/>
        <w:autoSpaceDN w:val="0"/>
        <w:adjustRightInd w:val="0"/>
        <w:spacing w:after="0" w:line="240" w:lineRule="auto"/>
        <w:rPr>
          <w:rFonts w:ascii="Arial" w:hAnsi="Arial" w:cs="Arial"/>
          <w:sz w:val="20"/>
          <w:szCs w:val="20"/>
        </w:rPr>
      </w:pPr>
      <w:r w:rsidRPr="004F7A4E">
        <w:rPr>
          <w:rStyle w:val="FootnoteReference"/>
          <w:rFonts w:ascii="Arial" w:hAnsi="Arial" w:cs="Arial"/>
          <w:sz w:val="20"/>
          <w:szCs w:val="20"/>
        </w:rPr>
        <w:footnoteRef/>
      </w:r>
      <w:r w:rsidRPr="004F7A4E">
        <w:rPr>
          <w:rFonts w:ascii="Arial" w:hAnsi="Arial" w:cs="Arial"/>
          <w:sz w:val="20"/>
          <w:szCs w:val="20"/>
        </w:rPr>
        <w:t xml:space="preserve"> </w:t>
      </w:r>
      <w:r w:rsidR="00F36D61" w:rsidRPr="00F36D61">
        <w:rPr>
          <w:rFonts w:ascii="Arial" w:hAnsi="Arial" w:cs="Arial"/>
          <w:sz w:val="20"/>
          <w:szCs w:val="20"/>
        </w:rPr>
        <w:t>Hoefer, Rytina and Bake</w:t>
      </w:r>
      <w:r w:rsidR="00C67F47">
        <w:rPr>
          <w:rFonts w:ascii="Arial" w:hAnsi="Arial" w:cs="Arial"/>
          <w:sz w:val="20"/>
          <w:szCs w:val="20"/>
        </w:rPr>
        <w:t xml:space="preserve"> 2012, </w:t>
      </w:r>
      <w:r w:rsidR="002D69E7">
        <w:rPr>
          <w:rFonts w:ascii="Arial" w:hAnsi="Arial" w:cs="Arial"/>
          <w:sz w:val="20"/>
          <w:szCs w:val="20"/>
        </w:rPr>
        <w:t>p. 5</w:t>
      </w:r>
      <w:r w:rsidR="00F36D61" w:rsidRPr="00F36D61">
        <w:rPr>
          <w:rFonts w:ascii="Arial" w:hAnsi="Arial" w:cs="Arial"/>
          <w:sz w:val="20"/>
          <w:szCs w:val="20"/>
        </w:rPr>
        <w:t>.</w:t>
      </w:r>
    </w:p>
  </w:footnote>
  <w:footnote w:id="9">
    <w:p w:rsidR="009869AC" w:rsidRPr="003D4972" w:rsidRDefault="009869AC">
      <w:pPr>
        <w:pStyle w:val="FootnoteText"/>
        <w:rPr>
          <w:rFonts w:ascii="Arial" w:hAnsi="Arial" w:cs="Arial"/>
        </w:rPr>
      </w:pPr>
      <w:r w:rsidRPr="003D4972">
        <w:rPr>
          <w:rStyle w:val="FootnoteReference"/>
          <w:rFonts w:ascii="Arial" w:hAnsi="Arial" w:cs="Arial"/>
        </w:rPr>
        <w:footnoteRef/>
      </w:r>
      <w:r w:rsidRPr="003D4972">
        <w:rPr>
          <w:rFonts w:ascii="Arial" w:hAnsi="Arial" w:cs="Arial"/>
        </w:rPr>
        <w:t xml:space="preserve"> The regional definitions are from MaCurdy, Mancuso and O’Brien-Strain</w:t>
      </w:r>
      <w:r w:rsidR="000F017F">
        <w:rPr>
          <w:rFonts w:ascii="Arial" w:hAnsi="Arial" w:cs="Arial"/>
        </w:rPr>
        <w:t xml:space="preserve"> 2000</w:t>
      </w:r>
      <w:r w:rsidR="00D45B7B">
        <w:rPr>
          <w:rFonts w:ascii="Arial" w:hAnsi="Arial" w:cs="Arial"/>
        </w:rPr>
        <w:t>.</w:t>
      </w:r>
      <w:r w:rsidR="00170F1F" w:rsidRPr="003D4972">
        <w:rPr>
          <w:rFonts w:ascii="Arial" w:hAnsi="Arial" w:cs="Arial"/>
        </w:rPr>
        <w:t xml:space="preserve">  The counties in this region used in this analysis are Amador, Butte, Calaveras, Del Norte, Humboldt, Inyo, Lake, Lassen, Mariposa, Mendocino, Modoc, Nevada, Plumas, Shasta, Siskiyou, Tehama and Tuolumne Counties.  Alpine, Mono, Sierra and Trinity Counties are also in this region but had too few CalFresh cas</w:t>
      </w:r>
      <w:r w:rsidR="00B64BC9">
        <w:rPr>
          <w:rFonts w:ascii="Arial" w:hAnsi="Arial" w:cs="Arial"/>
        </w:rPr>
        <w:t>es to include in the analysis.</w:t>
      </w:r>
      <w:r w:rsidR="000848EC" w:rsidRPr="003D4972">
        <w:rPr>
          <w:rFonts w:ascii="Arial" w:hAnsi="Arial" w:cs="Arial"/>
        </w:rPr>
        <w:t xml:space="preserve">  The CFPA estimates were published in </w:t>
      </w:r>
      <w:r w:rsidR="000848EC" w:rsidRPr="00CF5541">
        <w:rPr>
          <w:rFonts w:ascii="Arial" w:hAnsi="Arial" w:cs="Arial"/>
        </w:rPr>
        <w:t>Shimada</w:t>
      </w:r>
      <w:r w:rsidR="00614568">
        <w:rPr>
          <w:rFonts w:ascii="Arial" w:hAnsi="Arial" w:cs="Arial"/>
        </w:rPr>
        <w:t xml:space="preserve"> 2013.  </w:t>
      </w:r>
    </w:p>
  </w:footnote>
  <w:footnote w:id="10">
    <w:p w:rsidR="00A831D7" w:rsidRPr="003D4972" w:rsidRDefault="00A831D7">
      <w:pPr>
        <w:pStyle w:val="FootnoteText"/>
        <w:rPr>
          <w:rFonts w:ascii="Arial" w:hAnsi="Arial" w:cs="Arial"/>
        </w:rPr>
      </w:pPr>
      <w:r w:rsidRPr="003D4972">
        <w:rPr>
          <w:rStyle w:val="FootnoteReference"/>
          <w:rFonts w:ascii="Arial" w:hAnsi="Arial" w:cs="Arial"/>
        </w:rPr>
        <w:footnoteRef/>
      </w:r>
      <w:r w:rsidRPr="003D4972">
        <w:rPr>
          <w:rFonts w:ascii="Arial" w:hAnsi="Arial" w:cs="Arial"/>
        </w:rPr>
        <w:t xml:space="preserve"> The PPIC estimates </w:t>
      </w:r>
      <w:r w:rsidR="00823424" w:rsidRPr="003D4972">
        <w:rPr>
          <w:rFonts w:ascii="Arial" w:hAnsi="Arial" w:cs="Arial"/>
        </w:rPr>
        <w:t xml:space="preserve">unauthorized immigrants </w:t>
      </w:r>
      <w:r w:rsidR="00823424">
        <w:rPr>
          <w:rFonts w:ascii="Arial" w:hAnsi="Arial" w:cs="Arial"/>
        </w:rPr>
        <w:t>as a</w:t>
      </w:r>
      <w:r w:rsidRPr="003D4972">
        <w:rPr>
          <w:rFonts w:ascii="Arial" w:hAnsi="Arial" w:cs="Arial"/>
        </w:rPr>
        <w:t xml:space="preserve"> share of </w:t>
      </w:r>
      <w:r w:rsidR="00823424">
        <w:rPr>
          <w:rFonts w:ascii="Arial" w:hAnsi="Arial" w:cs="Arial"/>
        </w:rPr>
        <w:t xml:space="preserve">county population </w:t>
      </w:r>
      <w:r w:rsidRPr="003D4972">
        <w:rPr>
          <w:rFonts w:ascii="Arial" w:hAnsi="Arial" w:cs="Arial"/>
        </w:rPr>
        <w:t>based on tax filings.  Their estimates place all the North and Mountain Region counties at less than 2 percent unauthorized immigrants with the exception of Mendocino/Lake Counties (5 percent) an</w:t>
      </w:r>
      <w:r w:rsidR="00A82ADD" w:rsidRPr="003D4972">
        <w:rPr>
          <w:rFonts w:ascii="Arial" w:hAnsi="Arial" w:cs="Arial"/>
        </w:rPr>
        <w:t>d Colusa/Glenn/Tehama/Trinity (</w:t>
      </w:r>
      <w:r w:rsidRPr="003D4972">
        <w:rPr>
          <w:rFonts w:ascii="Arial" w:hAnsi="Arial" w:cs="Arial"/>
        </w:rPr>
        <w:t>8.3 percent</w:t>
      </w:r>
      <w:r w:rsidR="00A82ADD" w:rsidRPr="003D4972">
        <w:rPr>
          <w:rFonts w:ascii="Arial" w:hAnsi="Arial" w:cs="Arial"/>
        </w:rPr>
        <w:t>)</w:t>
      </w:r>
      <w:r w:rsidRPr="003D4972">
        <w:rPr>
          <w:rFonts w:ascii="Arial" w:hAnsi="Arial" w:cs="Arial"/>
        </w:rPr>
        <w:t xml:space="preserve">.  </w:t>
      </w:r>
      <w:r w:rsidR="00A82ADD" w:rsidRPr="003D4972">
        <w:rPr>
          <w:rFonts w:ascii="Arial" w:hAnsi="Arial" w:cs="Arial"/>
        </w:rPr>
        <w:t xml:space="preserve">No other counties have an </w:t>
      </w:r>
      <w:r w:rsidR="00F274CA">
        <w:rPr>
          <w:rFonts w:ascii="Arial" w:hAnsi="Arial" w:cs="Arial"/>
        </w:rPr>
        <w:t xml:space="preserve">estimated </w:t>
      </w:r>
      <w:r w:rsidR="00A82ADD" w:rsidRPr="003D4972">
        <w:rPr>
          <w:rFonts w:ascii="Arial" w:hAnsi="Arial" w:cs="Arial"/>
        </w:rPr>
        <w:t>unauthorized immig</w:t>
      </w:r>
      <w:r w:rsidR="00823424">
        <w:rPr>
          <w:rFonts w:ascii="Arial" w:hAnsi="Arial" w:cs="Arial"/>
        </w:rPr>
        <w:t>rant share less than 2 percent</w:t>
      </w:r>
      <w:r w:rsidR="00A82ADD" w:rsidRPr="003D4972">
        <w:rPr>
          <w:rFonts w:ascii="Arial" w:hAnsi="Arial" w:cs="Arial"/>
        </w:rPr>
        <w:t xml:space="preserve"> </w:t>
      </w:r>
      <w:r w:rsidR="00823424">
        <w:rPr>
          <w:rFonts w:ascii="Arial" w:hAnsi="Arial" w:cs="Arial"/>
        </w:rPr>
        <w:t>(</w:t>
      </w:r>
      <w:r w:rsidR="00971655" w:rsidRPr="003D4972">
        <w:rPr>
          <w:rFonts w:ascii="Arial" w:hAnsi="Arial" w:cs="Arial"/>
        </w:rPr>
        <w:t>Hill and Johnson 2011</w:t>
      </w:r>
      <w:r w:rsidR="00823424">
        <w:rPr>
          <w:rFonts w:ascii="Arial" w:hAnsi="Arial" w:cs="Arial"/>
        </w:rPr>
        <w:t>)</w:t>
      </w:r>
      <w:r w:rsidR="00971655" w:rsidRPr="003D4972">
        <w:rPr>
          <w:rFonts w:ascii="Arial" w:hAnsi="Arial" w:cs="Arial"/>
        </w:rPr>
        <w:t xml:space="preserve">.  </w:t>
      </w:r>
    </w:p>
  </w:footnote>
  <w:footnote w:id="11">
    <w:p w:rsidR="008208FA" w:rsidRPr="004A59F5" w:rsidRDefault="008208FA" w:rsidP="004A59F5">
      <w:pPr>
        <w:pStyle w:val="Heading2"/>
        <w:spacing w:before="195" w:beforeAutospacing="0" w:after="0" w:afterAutospacing="0"/>
        <w:rPr>
          <w:rFonts w:ascii="Arial" w:hAnsi="Arial" w:cs="Arial"/>
          <w:b w:val="0"/>
          <w:sz w:val="20"/>
          <w:szCs w:val="20"/>
        </w:rPr>
      </w:pPr>
      <w:r w:rsidRPr="008E75C5">
        <w:rPr>
          <w:rStyle w:val="FootnoteReference"/>
          <w:rFonts w:ascii="Arial" w:hAnsi="Arial" w:cs="Arial"/>
          <w:b w:val="0"/>
          <w:sz w:val="20"/>
          <w:szCs w:val="20"/>
        </w:rPr>
        <w:footnoteRef/>
      </w:r>
      <w:r w:rsidRPr="008E75C5">
        <w:rPr>
          <w:rFonts w:ascii="Arial" w:hAnsi="Arial" w:cs="Arial"/>
          <w:b w:val="0"/>
          <w:sz w:val="20"/>
          <w:szCs w:val="20"/>
        </w:rPr>
        <w:t xml:space="preserve"> Estimates of poverty rates for undocumented immigrants in the </w:t>
      </w:r>
      <w:r w:rsidR="00A02E06">
        <w:rPr>
          <w:rFonts w:ascii="Arial" w:hAnsi="Arial" w:cs="Arial"/>
          <w:b w:val="0"/>
          <w:sz w:val="20"/>
          <w:szCs w:val="20"/>
        </w:rPr>
        <w:t>United States vary widely.</w:t>
      </w:r>
      <w:r w:rsidR="00A02E06">
        <w:rPr>
          <w:rFonts w:ascii="Arial" w:hAnsi="Arial" w:cs="Arial"/>
          <w:b w:val="0"/>
          <w:color w:val="FF0000"/>
          <w:sz w:val="20"/>
          <w:szCs w:val="20"/>
        </w:rPr>
        <w:t xml:space="preserve"> </w:t>
      </w:r>
      <w:r w:rsidR="00A02E06" w:rsidRPr="003121DC">
        <w:rPr>
          <w:rFonts w:ascii="Arial" w:hAnsi="Arial" w:cs="Arial"/>
          <w:b w:val="0"/>
          <w:sz w:val="20"/>
          <w:szCs w:val="20"/>
        </w:rPr>
        <w:t xml:space="preserve"> </w:t>
      </w:r>
      <w:r w:rsidR="00A02E06">
        <w:rPr>
          <w:rFonts w:ascii="Arial" w:hAnsi="Arial" w:cs="Arial"/>
          <w:b w:val="0"/>
          <w:sz w:val="20"/>
          <w:szCs w:val="20"/>
        </w:rPr>
        <w:t xml:space="preserve">In 2003, 27 percent of unauthorized immigrant California adults and 38 percent of their children were poor (Fortuny, Capps and Passel 2007, pp. 32-33); </w:t>
      </w:r>
      <w:r w:rsidR="000A3ACA">
        <w:rPr>
          <w:rFonts w:ascii="Arial" w:hAnsi="Arial" w:cs="Arial"/>
          <w:b w:val="0"/>
          <w:sz w:val="20"/>
          <w:szCs w:val="20"/>
        </w:rPr>
        <w:t>t</w:t>
      </w:r>
      <w:r w:rsidR="00120EB0" w:rsidRPr="008E75C5">
        <w:rPr>
          <w:rFonts w:ascii="Arial" w:hAnsi="Arial" w:cs="Arial"/>
          <w:b w:val="0"/>
          <w:sz w:val="20"/>
          <w:szCs w:val="20"/>
        </w:rPr>
        <w:t>he Pew Hispanic Center put the</w:t>
      </w:r>
      <w:r w:rsidR="000A3ACA">
        <w:rPr>
          <w:rFonts w:ascii="Arial" w:hAnsi="Arial" w:cs="Arial"/>
          <w:b w:val="0"/>
          <w:sz w:val="20"/>
          <w:szCs w:val="20"/>
        </w:rPr>
        <w:t xml:space="preserve"> </w:t>
      </w:r>
      <w:r w:rsidR="000A3ACA" w:rsidRPr="008E75C5">
        <w:rPr>
          <w:rFonts w:ascii="Arial" w:hAnsi="Arial" w:cs="Arial"/>
          <w:b w:val="0"/>
          <w:sz w:val="20"/>
          <w:szCs w:val="20"/>
        </w:rPr>
        <w:t xml:space="preserve">March 2008 </w:t>
      </w:r>
      <w:r w:rsidR="000A3ACA">
        <w:rPr>
          <w:rFonts w:ascii="Arial" w:hAnsi="Arial" w:cs="Arial"/>
          <w:b w:val="0"/>
          <w:sz w:val="20"/>
          <w:szCs w:val="20"/>
        </w:rPr>
        <w:t>poverty</w:t>
      </w:r>
      <w:r w:rsidR="00120EB0" w:rsidRPr="008E75C5">
        <w:rPr>
          <w:rFonts w:ascii="Arial" w:hAnsi="Arial" w:cs="Arial"/>
          <w:b w:val="0"/>
          <w:sz w:val="20"/>
          <w:szCs w:val="20"/>
        </w:rPr>
        <w:t xml:space="preserve"> rate </w:t>
      </w:r>
      <w:r w:rsidR="000A3ACA">
        <w:rPr>
          <w:rFonts w:ascii="Arial" w:hAnsi="Arial" w:cs="Arial"/>
          <w:b w:val="0"/>
          <w:sz w:val="20"/>
          <w:szCs w:val="20"/>
        </w:rPr>
        <w:t>for unauthorized immigrants at 21 </w:t>
      </w:r>
      <w:r w:rsidR="00120EB0" w:rsidRPr="008E75C5">
        <w:rPr>
          <w:rFonts w:ascii="Arial" w:hAnsi="Arial" w:cs="Arial"/>
          <w:b w:val="0"/>
          <w:sz w:val="20"/>
          <w:szCs w:val="20"/>
        </w:rPr>
        <w:t>percent</w:t>
      </w:r>
      <w:r w:rsidR="000A3ACA">
        <w:rPr>
          <w:rFonts w:ascii="Arial" w:hAnsi="Arial" w:cs="Arial"/>
          <w:b w:val="0"/>
          <w:sz w:val="20"/>
          <w:szCs w:val="20"/>
        </w:rPr>
        <w:t xml:space="preserve"> </w:t>
      </w:r>
      <w:r w:rsidR="00116893">
        <w:rPr>
          <w:rFonts w:ascii="Arial" w:hAnsi="Arial" w:cs="Arial"/>
          <w:b w:val="0"/>
          <w:sz w:val="20"/>
          <w:szCs w:val="20"/>
        </w:rPr>
        <w:t xml:space="preserve">(Passel and </w:t>
      </w:r>
      <w:r w:rsidR="00084E42" w:rsidRPr="008E75C5">
        <w:rPr>
          <w:rFonts w:ascii="Arial" w:hAnsi="Arial" w:cs="Arial"/>
          <w:b w:val="0"/>
          <w:sz w:val="20"/>
          <w:szCs w:val="20"/>
        </w:rPr>
        <w:t>Cohn</w:t>
      </w:r>
      <w:r w:rsidR="00084E42">
        <w:rPr>
          <w:rFonts w:ascii="Arial" w:hAnsi="Arial" w:cs="Arial"/>
          <w:b w:val="0"/>
          <w:sz w:val="20"/>
          <w:szCs w:val="20"/>
        </w:rPr>
        <w:t xml:space="preserve"> </w:t>
      </w:r>
      <w:r w:rsidR="00116893">
        <w:rPr>
          <w:rFonts w:ascii="Arial" w:hAnsi="Arial" w:cs="Arial"/>
          <w:b w:val="0"/>
          <w:sz w:val="20"/>
          <w:szCs w:val="20"/>
        </w:rPr>
        <w:t xml:space="preserve">2009, </w:t>
      </w:r>
      <w:r w:rsidR="008E75C5" w:rsidRPr="008E75C5">
        <w:rPr>
          <w:rFonts w:ascii="Arial" w:hAnsi="Arial" w:cs="Arial"/>
          <w:b w:val="0"/>
          <w:sz w:val="20"/>
          <w:szCs w:val="20"/>
        </w:rPr>
        <w:t>p. 17</w:t>
      </w:r>
      <w:r w:rsidR="00120EB0" w:rsidRPr="008E75C5">
        <w:rPr>
          <w:rFonts w:ascii="Arial" w:hAnsi="Arial" w:cs="Arial"/>
          <w:b w:val="0"/>
          <w:sz w:val="20"/>
          <w:szCs w:val="20"/>
        </w:rPr>
        <w:t xml:space="preserve">); </w:t>
      </w:r>
      <w:r w:rsidR="000A3ACA">
        <w:rPr>
          <w:rFonts w:ascii="Arial" w:hAnsi="Arial" w:cs="Arial"/>
          <w:b w:val="0"/>
          <w:sz w:val="20"/>
          <w:szCs w:val="20"/>
        </w:rPr>
        <w:t xml:space="preserve">and </w:t>
      </w:r>
      <w:r w:rsidR="003A160E">
        <w:rPr>
          <w:rFonts w:ascii="Arial" w:hAnsi="Arial" w:cs="Arial"/>
          <w:b w:val="0"/>
          <w:sz w:val="20"/>
          <w:szCs w:val="20"/>
        </w:rPr>
        <w:t xml:space="preserve">56.6 percent of </w:t>
      </w:r>
      <w:r w:rsidR="00A02E06">
        <w:rPr>
          <w:rFonts w:ascii="Arial" w:hAnsi="Arial" w:cs="Arial"/>
          <w:b w:val="0"/>
          <w:sz w:val="20"/>
          <w:szCs w:val="20"/>
        </w:rPr>
        <w:t xml:space="preserve">unauthorized immigrant </w:t>
      </w:r>
      <w:r w:rsidR="003A160E">
        <w:rPr>
          <w:rFonts w:ascii="Arial" w:hAnsi="Arial" w:cs="Arial"/>
          <w:b w:val="0"/>
          <w:sz w:val="20"/>
          <w:szCs w:val="20"/>
        </w:rPr>
        <w:t>California adults were poor in 2009 according to the California Health Interview Survey (</w:t>
      </w:r>
      <w:r w:rsidR="00A02E06" w:rsidRPr="00A02E06">
        <w:rPr>
          <w:rFonts w:ascii="Arial" w:hAnsi="Arial" w:cs="Arial"/>
          <w:b w:val="0"/>
          <w:color w:val="000000" w:themeColor="text1"/>
          <w:sz w:val="20"/>
          <w:szCs w:val="20"/>
        </w:rPr>
        <w:t>Wallace</w:t>
      </w:r>
      <w:r w:rsidR="00084E42">
        <w:rPr>
          <w:rFonts w:ascii="Arial" w:hAnsi="Arial" w:cs="Arial"/>
          <w:b w:val="0"/>
          <w:color w:val="000000" w:themeColor="text1"/>
          <w:sz w:val="20"/>
          <w:szCs w:val="20"/>
        </w:rPr>
        <w:t xml:space="preserve"> et al. 2012</w:t>
      </w:r>
      <w:r w:rsidR="00A02E06" w:rsidRPr="00A02E06">
        <w:rPr>
          <w:rFonts w:ascii="Arial" w:hAnsi="Arial" w:cs="Arial"/>
          <w:b w:val="0"/>
          <w:color w:val="000000" w:themeColor="text1"/>
          <w:sz w:val="20"/>
          <w:szCs w:val="20"/>
        </w:rPr>
        <w:t xml:space="preserve">, </w:t>
      </w:r>
      <w:r w:rsidR="00084E42">
        <w:rPr>
          <w:rFonts w:ascii="Arial" w:hAnsi="Arial" w:cs="Arial"/>
          <w:b w:val="0"/>
          <w:sz w:val="20"/>
          <w:szCs w:val="20"/>
        </w:rPr>
        <w:t>p. 10</w:t>
      </w:r>
      <w:r w:rsidR="00A02E06" w:rsidRPr="00B61F67">
        <w:rPr>
          <w:rFonts w:ascii="Arial" w:hAnsi="Arial" w:cs="Arial"/>
          <w:b w:val="0"/>
          <w:sz w:val="20"/>
          <w:szCs w:val="20"/>
        </w:rPr>
        <w:t>).</w:t>
      </w:r>
      <w:r w:rsidR="0039764D" w:rsidRPr="00B61F67">
        <w:rPr>
          <w:rFonts w:ascii="Arial" w:hAnsi="Arial" w:cs="Arial"/>
          <w:b w:val="0"/>
          <w:sz w:val="20"/>
          <w:szCs w:val="20"/>
        </w:rPr>
        <w:t xml:space="preserve">  </w:t>
      </w:r>
    </w:p>
  </w:footnote>
  <w:footnote w:id="12">
    <w:p w:rsidR="00C32B00" w:rsidRPr="00FC78C4" w:rsidRDefault="00C32B00" w:rsidP="00C32B00">
      <w:pPr>
        <w:pStyle w:val="FootnoteText"/>
        <w:rPr>
          <w:rFonts w:ascii="Arial" w:hAnsi="Arial" w:cs="Arial"/>
        </w:rPr>
      </w:pPr>
      <w:r w:rsidRPr="00FC78C4">
        <w:rPr>
          <w:rStyle w:val="FootnoteReference"/>
          <w:rFonts w:ascii="Arial" w:hAnsi="Arial" w:cs="Arial"/>
        </w:rPr>
        <w:footnoteRef/>
      </w:r>
      <w:r w:rsidRPr="00FC78C4">
        <w:rPr>
          <w:rFonts w:ascii="Arial" w:hAnsi="Arial" w:cs="Arial"/>
        </w:rPr>
        <w:t xml:space="preserve"> </w:t>
      </w:r>
      <w:r w:rsidR="00F36D61" w:rsidRPr="00FC78C4">
        <w:rPr>
          <w:rFonts w:ascii="Arial" w:hAnsi="Arial" w:cs="Arial"/>
        </w:rPr>
        <w:t xml:space="preserve">Hoefer, Rytina and Baker 2012. </w:t>
      </w:r>
    </w:p>
  </w:footnote>
  <w:footnote w:id="13">
    <w:p w:rsidR="000E54E9" w:rsidRPr="000E54E9" w:rsidRDefault="000E54E9">
      <w:pPr>
        <w:pStyle w:val="FootnoteText"/>
        <w:rPr>
          <w:rFonts w:ascii="Arial" w:hAnsi="Arial" w:cs="Arial"/>
        </w:rPr>
      </w:pPr>
      <w:r w:rsidRPr="000E54E9">
        <w:rPr>
          <w:rStyle w:val="FootnoteReference"/>
          <w:rFonts w:ascii="Arial" w:hAnsi="Arial" w:cs="Arial"/>
        </w:rPr>
        <w:footnoteRef/>
      </w:r>
      <w:r w:rsidRPr="000E54E9">
        <w:rPr>
          <w:rFonts w:ascii="Arial" w:hAnsi="Arial" w:cs="Arial"/>
        </w:rPr>
        <w:t xml:space="preserve"> </w:t>
      </w:r>
      <w:r w:rsidR="00263619">
        <w:rPr>
          <w:rFonts w:ascii="Arial" w:hAnsi="Arial" w:cs="Arial"/>
        </w:rPr>
        <w:t>Elements</w:t>
      </w:r>
      <w:r w:rsidRPr="000E54E9">
        <w:rPr>
          <w:rFonts w:ascii="Arial" w:hAnsi="Arial" w:cs="Arial"/>
        </w:rPr>
        <w:t xml:space="preserve"> in the merged database include </w:t>
      </w:r>
      <w:r w:rsidRPr="000E54E9">
        <w:rPr>
          <w:rFonts w:ascii="Arial" w:hAnsi="Arial" w:cs="Arial"/>
          <w:color w:val="000000" w:themeColor="text1"/>
        </w:rPr>
        <w:t>age, ethnicity, language, family composition, marital status, housing tenure, length of residence, education, nativity, English-only status and proportion below poverty.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A" w:rsidRDefault="005A766E" w:rsidP="005A766E">
    <w:pPr>
      <w:pStyle w:val="Header"/>
      <w:tabs>
        <w:tab w:val="clear" w:pos="4680"/>
      </w:tabs>
    </w:pPr>
    <w:r>
      <w:t>AUGUST 2014 DRAFT</w:t>
    </w:r>
  </w:p>
  <w:p w:rsidR="000216DA" w:rsidRDefault="00021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3F6C"/>
    <w:multiLevelType w:val="hybridMultilevel"/>
    <w:tmpl w:val="C050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1377"/>
    <w:multiLevelType w:val="hybridMultilevel"/>
    <w:tmpl w:val="7F86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F1AF9"/>
    <w:multiLevelType w:val="hybridMultilevel"/>
    <w:tmpl w:val="D62032BC"/>
    <w:lvl w:ilvl="0" w:tplc="B844BB62">
      <w:start w:val="1"/>
      <w:numFmt w:val="bullet"/>
      <w:lvlText w:val=""/>
      <w:lvlJc w:val="left"/>
      <w:pPr>
        <w:tabs>
          <w:tab w:val="num" w:pos="720"/>
        </w:tabs>
        <w:ind w:left="720" w:hanging="360"/>
      </w:pPr>
      <w:rPr>
        <w:rFonts w:ascii="Wingdings" w:hAnsi="Wingdings" w:hint="default"/>
      </w:rPr>
    </w:lvl>
    <w:lvl w:ilvl="1" w:tplc="15A82EBC" w:tentative="1">
      <w:start w:val="1"/>
      <w:numFmt w:val="bullet"/>
      <w:lvlText w:val=""/>
      <w:lvlJc w:val="left"/>
      <w:pPr>
        <w:tabs>
          <w:tab w:val="num" w:pos="1440"/>
        </w:tabs>
        <w:ind w:left="1440" w:hanging="360"/>
      </w:pPr>
      <w:rPr>
        <w:rFonts w:ascii="Wingdings" w:hAnsi="Wingdings" w:hint="default"/>
      </w:rPr>
    </w:lvl>
    <w:lvl w:ilvl="2" w:tplc="6388D704" w:tentative="1">
      <w:start w:val="1"/>
      <w:numFmt w:val="bullet"/>
      <w:lvlText w:val=""/>
      <w:lvlJc w:val="left"/>
      <w:pPr>
        <w:tabs>
          <w:tab w:val="num" w:pos="2160"/>
        </w:tabs>
        <w:ind w:left="2160" w:hanging="360"/>
      </w:pPr>
      <w:rPr>
        <w:rFonts w:ascii="Wingdings" w:hAnsi="Wingdings" w:hint="default"/>
      </w:rPr>
    </w:lvl>
    <w:lvl w:ilvl="3" w:tplc="3DC629F8" w:tentative="1">
      <w:start w:val="1"/>
      <w:numFmt w:val="bullet"/>
      <w:lvlText w:val=""/>
      <w:lvlJc w:val="left"/>
      <w:pPr>
        <w:tabs>
          <w:tab w:val="num" w:pos="2880"/>
        </w:tabs>
        <w:ind w:left="2880" w:hanging="360"/>
      </w:pPr>
      <w:rPr>
        <w:rFonts w:ascii="Wingdings" w:hAnsi="Wingdings" w:hint="default"/>
      </w:rPr>
    </w:lvl>
    <w:lvl w:ilvl="4" w:tplc="61325456" w:tentative="1">
      <w:start w:val="1"/>
      <w:numFmt w:val="bullet"/>
      <w:lvlText w:val=""/>
      <w:lvlJc w:val="left"/>
      <w:pPr>
        <w:tabs>
          <w:tab w:val="num" w:pos="3600"/>
        </w:tabs>
        <w:ind w:left="3600" w:hanging="360"/>
      </w:pPr>
      <w:rPr>
        <w:rFonts w:ascii="Wingdings" w:hAnsi="Wingdings" w:hint="default"/>
      </w:rPr>
    </w:lvl>
    <w:lvl w:ilvl="5" w:tplc="0076E7C4" w:tentative="1">
      <w:start w:val="1"/>
      <w:numFmt w:val="bullet"/>
      <w:lvlText w:val=""/>
      <w:lvlJc w:val="left"/>
      <w:pPr>
        <w:tabs>
          <w:tab w:val="num" w:pos="4320"/>
        </w:tabs>
        <w:ind w:left="4320" w:hanging="360"/>
      </w:pPr>
      <w:rPr>
        <w:rFonts w:ascii="Wingdings" w:hAnsi="Wingdings" w:hint="default"/>
      </w:rPr>
    </w:lvl>
    <w:lvl w:ilvl="6" w:tplc="F13EA09A" w:tentative="1">
      <w:start w:val="1"/>
      <w:numFmt w:val="bullet"/>
      <w:lvlText w:val=""/>
      <w:lvlJc w:val="left"/>
      <w:pPr>
        <w:tabs>
          <w:tab w:val="num" w:pos="5040"/>
        </w:tabs>
        <w:ind w:left="5040" w:hanging="360"/>
      </w:pPr>
      <w:rPr>
        <w:rFonts w:ascii="Wingdings" w:hAnsi="Wingdings" w:hint="default"/>
      </w:rPr>
    </w:lvl>
    <w:lvl w:ilvl="7" w:tplc="A38A4EA0" w:tentative="1">
      <w:start w:val="1"/>
      <w:numFmt w:val="bullet"/>
      <w:lvlText w:val=""/>
      <w:lvlJc w:val="left"/>
      <w:pPr>
        <w:tabs>
          <w:tab w:val="num" w:pos="5760"/>
        </w:tabs>
        <w:ind w:left="5760" w:hanging="360"/>
      </w:pPr>
      <w:rPr>
        <w:rFonts w:ascii="Wingdings" w:hAnsi="Wingdings" w:hint="default"/>
      </w:rPr>
    </w:lvl>
    <w:lvl w:ilvl="8" w:tplc="C7FC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041B0"/>
    <w:multiLevelType w:val="multilevel"/>
    <w:tmpl w:val="AE662728"/>
    <w:lvl w:ilvl="0">
      <w:start w:val="1"/>
      <w:numFmt w:val="bullet"/>
      <w:lvlText w:val=""/>
      <w:lvlJc w:val="left"/>
      <w:pPr>
        <w:tabs>
          <w:tab w:val="num" w:pos="2970"/>
        </w:tabs>
        <w:ind w:left="297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E5731"/>
    <w:multiLevelType w:val="hybridMultilevel"/>
    <w:tmpl w:val="47CA8B2C"/>
    <w:lvl w:ilvl="0" w:tplc="64349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26E33"/>
    <w:multiLevelType w:val="hybridMultilevel"/>
    <w:tmpl w:val="E3665FFC"/>
    <w:lvl w:ilvl="0" w:tplc="E5581A9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96802"/>
    <w:multiLevelType w:val="hybridMultilevel"/>
    <w:tmpl w:val="59126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84B3F"/>
    <w:multiLevelType w:val="hybridMultilevel"/>
    <w:tmpl w:val="D276A1FC"/>
    <w:lvl w:ilvl="0" w:tplc="0409000F">
      <w:start w:val="1"/>
      <w:numFmt w:val="decimal"/>
      <w:lvlText w:val="%1."/>
      <w:lvlJc w:val="left"/>
      <w:pPr>
        <w:tabs>
          <w:tab w:val="num" w:pos="720"/>
        </w:tabs>
        <w:ind w:left="720" w:hanging="360"/>
      </w:pPr>
      <w:rPr>
        <w:rFonts w:hint="default"/>
      </w:rPr>
    </w:lvl>
    <w:lvl w:ilvl="1" w:tplc="341A150C" w:tentative="1">
      <w:start w:val="1"/>
      <w:numFmt w:val="bullet"/>
      <w:lvlText w:val=""/>
      <w:lvlJc w:val="left"/>
      <w:pPr>
        <w:tabs>
          <w:tab w:val="num" w:pos="1440"/>
        </w:tabs>
        <w:ind w:left="1440" w:hanging="360"/>
      </w:pPr>
      <w:rPr>
        <w:rFonts w:ascii="Wingdings" w:hAnsi="Wingdings" w:hint="default"/>
      </w:rPr>
    </w:lvl>
    <w:lvl w:ilvl="2" w:tplc="CA1C37EC" w:tentative="1">
      <w:start w:val="1"/>
      <w:numFmt w:val="bullet"/>
      <w:lvlText w:val=""/>
      <w:lvlJc w:val="left"/>
      <w:pPr>
        <w:tabs>
          <w:tab w:val="num" w:pos="2160"/>
        </w:tabs>
        <w:ind w:left="2160" w:hanging="360"/>
      </w:pPr>
      <w:rPr>
        <w:rFonts w:ascii="Wingdings" w:hAnsi="Wingdings" w:hint="default"/>
      </w:rPr>
    </w:lvl>
    <w:lvl w:ilvl="3" w:tplc="AD52A25C" w:tentative="1">
      <w:start w:val="1"/>
      <w:numFmt w:val="bullet"/>
      <w:lvlText w:val=""/>
      <w:lvlJc w:val="left"/>
      <w:pPr>
        <w:tabs>
          <w:tab w:val="num" w:pos="2880"/>
        </w:tabs>
        <w:ind w:left="2880" w:hanging="360"/>
      </w:pPr>
      <w:rPr>
        <w:rFonts w:ascii="Wingdings" w:hAnsi="Wingdings" w:hint="default"/>
      </w:rPr>
    </w:lvl>
    <w:lvl w:ilvl="4" w:tplc="564ABE78" w:tentative="1">
      <w:start w:val="1"/>
      <w:numFmt w:val="bullet"/>
      <w:lvlText w:val=""/>
      <w:lvlJc w:val="left"/>
      <w:pPr>
        <w:tabs>
          <w:tab w:val="num" w:pos="3600"/>
        </w:tabs>
        <w:ind w:left="3600" w:hanging="360"/>
      </w:pPr>
      <w:rPr>
        <w:rFonts w:ascii="Wingdings" w:hAnsi="Wingdings" w:hint="default"/>
      </w:rPr>
    </w:lvl>
    <w:lvl w:ilvl="5" w:tplc="AF528504" w:tentative="1">
      <w:start w:val="1"/>
      <w:numFmt w:val="bullet"/>
      <w:lvlText w:val=""/>
      <w:lvlJc w:val="left"/>
      <w:pPr>
        <w:tabs>
          <w:tab w:val="num" w:pos="4320"/>
        </w:tabs>
        <w:ind w:left="4320" w:hanging="360"/>
      </w:pPr>
      <w:rPr>
        <w:rFonts w:ascii="Wingdings" w:hAnsi="Wingdings" w:hint="default"/>
      </w:rPr>
    </w:lvl>
    <w:lvl w:ilvl="6" w:tplc="4EFC9124" w:tentative="1">
      <w:start w:val="1"/>
      <w:numFmt w:val="bullet"/>
      <w:lvlText w:val=""/>
      <w:lvlJc w:val="left"/>
      <w:pPr>
        <w:tabs>
          <w:tab w:val="num" w:pos="5040"/>
        </w:tabs>
        <w:ind w:left="5040" w:hanging="360"/>
      </w:pPr>
      <w:rPr>
        <w:rFonts w:ascii="Wingdings" w:hAnsi="Wingdings" w:hint="default"/>
      </w:rPr>
    </w:lvl>
    <w:lvl w:ilvl="7" w:tplc="ABDC84C6" w:tentative="1">
      <w:start w:val="1"/>
      <w:numFmt w:val="bullet"/>
      <w:lvlText w:val=""/>
      <w:lvlJc w:val="left"/>
      <w:pPr>
        <w:tabs>
          <w:tab w:val="num" w:pos="5760"/>
        </w:tabs>
        <w:ind w:left="5760" w:hanging="360"/>
      </w:pPr>
      <w:rPr>
        <w:rFonts w:ascii="Wingdings" w:hAnsi="Wingdings" w:hint="default"/>
      </w:rPr>
    </w:lvl>
    <w:lvl w:ilvl="8" w:tplc="19E250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256AD"/>
    <w:multiLevelType w:val="hybridMultilevel"/>
    <w:tmpl w:val="DCA062B8"/>
    <w:lvl w:ilvl="0" w:tplc="CCC433D8">
      <w:start w:val="1"/>
      <w:numFmt w:val="bullet"/>
      <w:lvlText w:val=""/>
      <w:lvlJc w:val="left"/>
      <w:pPr>
        <w:tabs>
          <w:tab w:val="num" w:pos="720"/>
        </w:tabs>
        <w:ind w:left="720" w:hanging="360"/>
      </w:pPr>
      <w:rPr>
        <w:rFonts w:ascii="Wingdings" w:hAnsi="Wingdings" w:hint="default"/>
      </w:rPr>
    </w:lvl>
    <w:lvl w:ilvl="1" w:tplc="341A150C" w:tentative="1">
      <w:start w:val="1"/>
      <w:numFmt w:val="bullet"/>
      <w:lvlText w:val=""/>
      <w:lvlJc w:val="left"/>
      <w:pPr>
        <w:tabs>
          <w:tab w:val="num" w:pos="1440"/>
        </w:tabs>
        <w:ind w:left="1440" w:hanging="360"/>
      </w:pPr>
      <w:rPr>
        <w:rFonts w:ascii="Wingdings" w:hAnsi="Wingdings" w:hint="default"/>
      </w:rPr>
    </w:lvl>
    <w:lvl w:ilvl="2" w:tplc="CA1C37EC" w:tentative="1">
      <w:start w:val="1"/>
      <w:numFmt w:val="bullet"/>
      <w:lvlText w:val=""/>
      <w:lvlJc w:val="left"/>
      <w:pPr>
        <w:tabs>
          <w:tab w:val="num" w:pos="2160"/>
        </w:tabs>
        <w:ind w:left="2160" w:hanging="360"/>
      </w:pPr>
      <w:rPr>
        <w:rFonts w:ascii="Wingdings" w:hAnsi="Wingdings" w:hint="default"/>
      </w:rPr>
    </w:lvl>
    <w:lvl w:ilvl="3" w:tplc="AD52A25C" w:tentative="1">
      <w:start w:val="1"/>
      <w:numFmt w:val="bullet"/>
      <w:lvlText w:val=""/>
      <w:lvlJc w:val="left"/>
      <w:pPr>
        <w:tabs>
          <w:tab w:val="num" w:pos="2880"/>
        </w:tabs>
        <w:ind w:left="2880" w:hanging="360"/>
      </w:pPr>
      <w:rPr>
        <w:rFonts w:ascii="Wingdings" w:hAnsi="Wingdings" w:hint="default"/>
      </w:rPr>
    </w:lvl>
    <w:lvl w:ilvl="4" w:tplc="564ABE78" w:tentative="1">
      <w:start w:val="1"/>
      <w:numFmt w:val="bullet"/>
      <w:lvlText w:val=""/>
      <w:lvlJc w:val="left"/>
      <w:pPr>
        <w:tabs>
          <w:tab w:val="num" w:pos="3600"/>
        </w:tabs>
        <w:ind w:left="3600" w:hanging="360"/>
      </w:pPr>
      <w:rPr>
        <w:rFonts w:ascii="Wingdings" w:hAnsi="Wingdings" w:hint="default"/>
      </w:rPr>
    </w:lvl>
    <w:lvl w:ilvl="5" w:tplc="AF528504" w:tentative="1">
      <w:start w:val="1"/>
      <w:numFmt w:val="bullet"/>
      <w:lvlText w:val=""/>
      <w:lvlJc w:val="left"/>
      <w:pPr>
        <w:tabs>
          <w:tab w:val="num" w:pos="4320"/>
        </w:tabs>
        <w:ind w:left="4320" w:hanging="360"/>
      </w:pPr>
      <w:rPr>
        <w:rFonts w:ascii="Wingdings" w:hAnsi="Wingdings" w:hint="default"/>
      </w:rPr>
    </w:lvl>
    <w:lvl w:ilvl="6" w:tplc="4EFC9124" w:tentative="1">
      <w:start w:val="1"/>
      <w:numFmt w:val="bullet"/>
      <w:lvlText w:val=""/>
      <w:lvlJc w:val="left"/>
      <w:pPr>
        <w:tabs>
          <w:tab w:val="num" w:pos="5040"/>
        </w:tabs>
        <w:ind w:left="5040" w:hanging="360"/>
      </w:pPr>
      <w:rPr>
        <w:rFonts w:ascii="Wingdings" w:hAnsi="Wingdings" w:hint="default"/>
      </w:rPr>
    </w:lvl>
    <w:lvl w:ilvl="7" w:tplc="ABDC84C6" w:tentative="1">
      <w:start w:val="1"/>
      <w:numFmt w:val="bullet"/>
      <w:lvlText w:val=""/>
      <w:lvlJc w:val="left"/>
      <w:pPr>
        <w:tabs>
          <w:tab w:val="num" w:pos="5760"/>
        </w:tabs>
        <w:ind w:left="5760" w:hanging="360"/>
      </w:pPr>
      <w:rPr>
        <w:rFonts w:ascii="Wingdings" w:hAnsi="Wingdings" w:hint="default"/>
      </w:rPr>
    </w:lvl>
    <w:lvl w:ilvl="8" w:tplc="19E250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C508A"/>
    <w:multiLevelType w:val="hybridMultilevel"/>
    <w:tmpl w:val="F8F0ABA2"/>
    <w:lvl w:ilvl="0" w:tplc="F3C69A14">
      <w:start w:val="1"/>
      <w:numFmt w:val="upperRoman"/>
      <w:lvlText w:val="%1."/>
      <w:lvlJc w:val="right"/>
      <w:pPr>
        <w:tabs>
          <w:tab w:val="num" w:pos="720"/>
        </w:tabs>
        <w:ind w:left="720" w:hanging="360"/>
      </w:pPr>
    </w:lvl>
    <w:lvl w:ilvl="1" w:tplc="59BA8D66" w:tentative="1">
      <w:start w:val="1"/>
      <w:numFmt w:val="upperRoman"/>
      <w:lvlText w:val="%2."/>
      <w:lvlJc w:val="right"/>
      <w:pPr>
        <w:tabs>
          <w:tab w:val="num" w:pos="1440"/>
        </w:tabs>
        <w:ind w:left="1440" w:hanging="360"/>
      </w:pPr>
    </w:lvl>
    <w:lvl w:ilvl="2" w:tplc="1D1AB16C" w:tentative="1">
      <w:start w:val="1"/>
      <w:numFmt w:val="upperRoman"/>
      <w:lvlText w:val="%3."/>
      <w:lvlJc w:val="right"/>
      <w:pPr>
        <w:tabs>
          <w:tab w:val="num" w:pos="2160"/>
        </w:tabs>
        <w:ind w:left="2160" w:hanging="360"/>
      </w:pPr>
    </w:lvl>
    <w:lvl w:ilvl="3" w:tplc="EAEC0ACC" w:tentative="1">
      <w:start w:val="1"/>
      <w:numFmt w:val="upperRoman"/>
      <w:lvlText w:val="%4."/>
      <w:lvlJc w:val="right"/>
      <w:pPr>
        <w:tabs>
          <w:tab w:val="num" w:pos="2880"/>
        </w:tabs>
        <w:ind w:left="2880" w:hanging="360"/>
      </w:pPr>
    </w:lvl>
    <w:lvl w:ilvl="4" w:tplc="84E02F7A" w:tentative="1">
      <w:start w:val="1"/>
      <w:numFmt w:val="upperRoman"/>
      <w:lvlText w:val="%5."/>
      <w:lvlJc w:val="right"/>
      <w:pPr>
        <w:tabs>
          <w:tab w:val="num" w:pos="3600"/>
        </w:tabs>
        <w:ind w:left="3600" w:hanging="360"/>
      </w:pPr>
    </w:lvl>
    <w:lvl w:ilvl="5" w:tplc="C5B0727E" w:tentative="1">
      <w:start w:val="1"/>
      <w:numFmt w:val="upperRoman"/>
      <w:lvlText w:val="%6."/>
      <w:lvlJc w:val="right"/>
      <w:pPr>
        <w:tabs>
          <w:tab w:val="num" w:pos="4320"/>
        </w:tabs>
        <w:ind w:left="4320" w:hanging="360"/>
      </w:pPr>
    </w:lvl>
    <w:lvl w:ilvl="6" w:tplc="E2489952" w:tentative="1">
      <w:start w:val="1"/>
      <w:numFmt w:val="upperRoman"/>
      <w:lvlText w:val="%7."/>
      <w:lvlJc w:val="right"/>
      <w:pPr>
        <w:tabs>
          <w:tab w:val="num" w:pos="5040"/>
        </w:tabs>
        <w:ind w:left="5040" w:hanging="360"/>
      </w:pPr>
    </w:lvl>
    <w:lvl w:ilvl="7" w:tplc="5F7A4C00" w:tentative="1">
      <w:start w:val="1"/>
      <w:numFmt w:val="upperRoman"/>
      <w:lvlText w:val="%8."/>
      <w:lvlJc w:val="right"/>
      <w:pPr>
        <w:tabs>
          <w:tab w:val="num" w:pos="5760"/>
        </w:tabs>
        <w:ind w:left="5760" w:hanging="360"/>
      </w:pPr>
    </w:lvl>
    <w:lvl w:ilvl="8" w:tplc="00BC8F78" w:tentative="1">
      <w:start w:val="1"/>
      <w:numFmt w:val="upperRoman"/>
      <w:lvlText w:val="%9."/>
      <w:lvlJc w:val="right"/>
      <w:pPr>
        <w:tabs>
          <w:tab w:val="num" w:pos="6480"/>
        </w:tabs>
        <w:ind w:left="6480" w:hanging="360"/>
      </w:pPr>
    </w:lvl>
  </w:abstractNum>
  <w:abstractNum w:abstractNumId="10" w15:restartNumberingAfterBreak="0">
    <w:nsid w:val="232216D5"/>
    <w:multiLevelType w:val="hybridMultilevel"/>
    <w:tmpl w:val="432EBB14"/>
    <w:lvl w:ilvl="0" w:tplc="A3AEDF6A">
      <w:start w:val="1"/>
      <w:numFmt w:val="bullet"/>
      <w:lvlText w:val="o"/>
      <w:lvlJc w:val="left"/>
      <w:pPr>
        <w:tabs>
          <w:tab w:val="num" w:pos="720"/>
        </w:tabs>
        <w:ind w:left="720" w:hanging="360"/>
      </w:pPr>
      <w:rPr>
        <w:rFonts w:ascii="Courier New" w:hAnsi="Courier New" w:hint="default"/>
      </w:rPr>
    </w:lvl>
    <w:lvl w:ilvl="1" w:tplc="9A7AB114" w:tentative="1">
      <w:start w:val="1"/>
      <w:numFmt w:val="bullet"/>
      <w:lvlText w:val="o"/>
      <w:lvlJc w:val="left"/>
      <w:pPr>
        <w:tabs>
          <w:tab w:val="num" w:pos="1440"/>
        </w:tabs>
        <w:ind w:left="1440" w:hanging="360"/>
      </w:pPr>
      <w:rPr>
        <w:rFonts w:ascii="Courier New" w:hAnsi="Courier New" w:hint="default"/>
      </w:rPr>
    </w:lvl>
    <w:lvl w:ilvl="2" w:tplc="F330FA4C" w:tentative="1">
      <w:start w:val="1"/>
      <w:numFmt w:val="bullet"/>
      <w:lvlText w:val="o"/>
      <w:lvlJc w:val="left"/>
      <w:pPr>
        <w:tabs>
          <w:tab w:val="num" w:pos="2160"/>
        </w:tabs>
        <w:ind w:left="2160" w:hanging="360"/>
      </w:pPr>
      <w:rPr>
        <w:rFonts w:ascii="Courier New" w:hAnsi="Courier New" w:hint="default"/>
      </w:rPr>
    </w:lvl>
    <w:lvl w:ilvl="3" w:tplc="ECFC3A3E" w:tentative="1">
      <w:start w:val="1"/>
      <w:numFmt w:val="bullet"/>
      <w:lvlText w:val="o"/>
      <w:lvlJc w:val="left"/>
      <w:pPr>
        <w:tabs>
          <w:tab w:val="num" w:pos="2880"/>
        </w:tabs>
        <w:ind w:left="2880" w:hanging="360"/>
      </w:pPr>
      <w:rPr>
        <w:rFonts w:ascii="Courier New" w:hAnsi="Courier New" w:hint="default"/>
      </w:rPr>
    </w:lvl>
    <w:lvl w:ilvl="4" w:tplc="E5EC1CD0" w:tentative="1">
      <w:start w:val="1"/>
      <w:numFmt w:val="bullet"/>
      <w:lvlText w:val="o"/>
      <w:lvlJc w:val="left"/>
      <w:pPr>
        <w:tabs>
          <w:tab w:val="num" w:pos="3600"/>
        </w:tabs>
        <w:ind w:left="3600" w:hanging="360"/>
      </w:pPr>
      <w:rPr>
        <w:rFonts w:ascii="Courier New" w:hAnsi="Courier New" w:hint="default"/>
      </w:rPr>
    </w:lvl>
    <w:lvl w:ilvl="5" w:tplc="B984982A" w:tentative="1">
      <w:start w:val="1"/>
      <w:numFmt w:val="bullet"/>
      <w:lvlText w:val="o"/>
      <w:lvlJc w:val="left"/>
      <w:pPr>
        <w:tabs>
          <w:tab w:val="num" w:pos="4320"/>
        </w:tabs>
        <w:ind w:left="4320" w:hanging="360"/>
      </w:pPr>
      <w:rPr>
        <w:rFonts w:ascii="Courier New" w:hAnsi="Courier New" w:hint="default"/>
      </w:rPr>
    </w:lvl>
    <w:lvl w:ilvl="6" w:tplc="324E5838" w:tentative="1">
      <w:start w:val="1"/>
      <w:numFmt w:val="bullet"/>
      <w:lvlText w:val="o"/>
      <w:lvlJc w:val="left"/>
      <w:pPr>
        <w:tabs>
          <w:tab w:val="num" w:pos="5040"/>
        </w:tabs>
        <w:ind w:left="5040" w:hanging="360"/>
      </w:pPr>
      <w:rPr>
        <w:rFonts w:ascii="Courier New" w:hAnsi="Courier New" w:hint="default"/>
      </w:rPr>
    </w:lvl>
    <w:lvl w:ilvl="7" w:tplc="D4C4FD1A" w:tentative="1">
      <w:start w:val="1"/>
      <w:numFmt w:val="bullet"/>
      <w:lvlText w:val="o"/>
      <w:lvlJc w:val="left"/>
      <w:pPr>
        <w:tabs>
          <w:tab w:val="num" w:pos="5760"/>
        </w:tabs>
        <w:ind w:left="5760" w:hanging="360"/>
      </w:pPr>
      <w:rPr>
        <w:rFonts w:ascii="Courier New" w:hAnsi="Courier New" w:hint="default"/>
      </w:rPr>
    </w:lvl>
    <w:lvl w:ilvl="8" w:tplc="5C4677C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324268"/>
    <w:multiLevelType w:val="hybridMultilevel"/>
    <w:tmpl w:val="BD2244FC"/>
    <w:lvl w:ilvl="0" w:tplc="E068ADCA">
      <w:start w:val="1"/>
      <w:numFmt w:val="bullet"/>
      <w:lvlText w:val=""/>
      <w:lvlJc w:val="left"/>
      <w:pPr>
        <w:tabs>
          <w:tab w:val="num" w:pos="720"/>
        </w:tabs>
        <w:ind w:left="720" w:hanging="360"/>
      </w:pPr>
      <w:rPr>
        <w:rFonts w:ascii="Wingdings" w:hAnsi="Wingdings" w:hint="default"/>
      </w:rPr>
    </w:lvl>
    <w:lvl w:ilvl="1" w:tplc="C9647B2E">
      <w:start w:val="1"/>
      <w:numFmt w:val="bullet"/>
      <w:lvlText w:val=""/>
      <w:lvlJc w:val="left"/>
      <w:pPr>
        <w:tabs>
          <w:tab w:val="num" w:pos="1440"/>
        </w:tabs>
        <w:ind w:left="1440" w:hanging="360"/>
      </w:pPr>
      <w:rPr>
        <w:rFonts w:ascii="Wingdings" w:hAnsi="Wingdings" w:hint="default"/>
      </w:rPr>
    </w:lvl>
    <w:lvl w:ilvl="2" w:tplc="F39A14B8" w:tentative="1">
      <w:start w:val="1"/>
      <w:numFmt w:val="bullet"/>
      <w:lvlText w:val=""/>
      <w:lvlJc w:val="left"/>
      <w:pPr>
        <w:tabs>
          <w:tab w:val="num" w:pos="2160"/>
        </w:tabs>
        <w:ind w:left="2160" w:hanging="360"/>
      </w:pPr>
      <w:rPr>
        <w:rFonts w:ascii="Wingdings" w:hAnsi="Wingdings" w:hint="default"/>
      </w:rPr>
    </w:lvl>
    <w:lvl w:ilvl="3" w:tplc="241A6C4A" w:tentative="1">
      <w:start w:val="1"/>
      <w:numFmt w:val="bullet"/>
      <w:lvlText w:val=""/>
      <w:lvlJc w:val="left"/>
      <w:pPr>
        <w:tabs>
          <w:tab w:val="num" w:pos="2880"/>
        </w:tabs>
        <w:ind w:left="2880" w:hanging="360"/>
      </w:pPr>
      <w:rPr>
        <w:rFonts w:ascii="Wingdings" w:hAnsi="Wingdings" w:hint="default"/>
      </w:rPr>
    </w:lvl>
    <w:lvl w:ilvl="4" w:tplc="E0EA1238" w:tentative="1">
      <w:start w:val="1"/>
      <w:numFmt w:val="bullet"/>
      <w:lvlText w:val=""/>
      <w:lvlJc w:val="left"/>
      <w:pPr>
        <w:tabs>
          <w:tab w:val="num" w:pos="3600"/>
        </w:tabs>
        <w:ind w:left="3600" w:hanging="360"/>
      </w:pPr>
      <w:rPr>
        <w:rFonts w:ascii="Wingdings" w:hAnsi="Wingdings" w:hint="default"/>
      </w:rPr>
    </w:lvl>
    <w:lvl w:ilvl="5" w:tplc="5478167C" w:tentative="1">
      <w:start w:val="1"/>
      <w:numFmt w:val="bullet"/>
      <w:lvlText w:val=""/>
      <w:lvlJc w:val="left"/>
      <w:pPr>
        <w:tabs>
          <w:tab w:val="num" w:pos="4320"/>
        </w:tabs>
        <w:ind w:left="4320" w:hanging="360"/>
      </w:pPr>
      <w:rPr>
        <w:rFonts w:ascii="Wingdings" w:hAnsi="Wingdings" w:hint="default"/>
      </w:rPr>
    </w:lvl>
    <w:lvl w:ilvl="6" w:tplc="154674B4" w:tentative="1">
      <w:start w:val="1"/>
      <w:numFmt w:val="bullet"/>
      <w:lvlText w:val=""/>
      <w:lvlJc w:val="left"/>
      <w:pPr>
        <w:tabs>
          <w:tab w:val="num" w:pos="5040"/>
        </w:tabs>
        <w:ind w:left="5040" w:hanging="360"/>
      </w:pPr>
      <w:rPr>
        <w:rFonts w:ascii="Wingdings" w:hAnsi="Wingdings" w:hint="default"/>
      </w:rPr>
    </w:lvl>
    <w:lvl w:ilvl="7" w:tplc="902695DA" w:tentative="1">
      <w:start w:val="1"/>
      <w:numFmt w:val="bullet"/>
      <w:lvlText w:val=""/>
      <w:lvlJc w:val="left"/>
      <w:pPr>
        <w:tabs>
          <w:tab w:val="num" w:pos="5760"/>
        </w:tabs>
        <w:ind w:left="5760" w:hanging="360"/>
      </w:pPr>
      <w:rPr>
        <w:rFonts w:ascii="Wingdings" w:hAnsi="Wingdings" w:hint="default"/>
      </w:rPr>
    </w:lvl>
    <w:lvl w:ilvl="8" w:tplc="32009F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B4AE9"/>
    <w:multiLevelType w:val="hybridMultilevel"/>
    <w:tmpl w:val="A53678B2"/>
    <w:lvl w:ilvl="0" w:tplc="CBE48EE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884114"/>
    <w:multiLevelType w:val="hybridMultilevel"/>
    <w:tmpl w:val="D9CA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E1272"/>
    <w:multiLevelType w:val="hybridMultilevel"/>
    <w:tmpl w:val="C8AAA104"/>
    <w:lvl w:ilvl="0" w:tplc="B844BB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422A3"/>
    <w:multiLevelType w:val="hybridMultilevel"/>
    <w:tmpl w:val="DABAC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13A8B"/>
    <w:multiLevelType w:val="hybridMultilevel"/>
    <w:tmpl w:val="2F6464A2"/>
    <w:lvl w:ilvl="0" w:tplc="023E4480">
      <w:start w:val="1"/>
      <w:numFmt w:val="bullet"/>
      <w:lvlText w:val="o"/>
      <w:lvlJc w:val="left"/>
      <w:pPr>
        <w:tabs>
          <w:tab w:val="num" w:pos="720"/>
        </w:tabs>
        <w:ind w:left="720" w:hanging="360"/>
      </w:pPr>
      <w:rPr>
        <w:rFonts w:ascii="Courier New" w:hAnsi="Courier New" w:hint="default"/>
      </w:rPr>
    </w:lvl>
    <w:lvl w:ilvl="1" w:tplc="625616C6" w:tentative="1">
      <w:start w:val="1"/>
      <w:numFmt w:val="bullet"/>
      <w:lvlText w:val="o"/>
      <w:lvlJc w:val="left"/>
      <w:pPr>
        <w:tabs>
          <w:tab w:val="num" w:pos="1440"/>
        </w:tabs>
        <w:ind w:left="1440" w:hanging="360"/>
      </w:pPr>
      <w:rPr>
        <w:rFonts w:ascii="Courier New" w:hAnsi="Courier New" w:hint="default"/>
      </w:rPr>
    </w:lvl>
    <w:lvl w:ilvl="2" w:tplc="E7DEEC80" w:tentative="1">
      <w:start w:val="1"/>
      <w:numFmt w:val="bullet"/>
      <w:lvlText w:val="o"/>
      <w:lvlJc w:val="left"/>
      <w:pPr>
        <w:tabs>
          <w:tab w:val="num" w:pos="2160"/>
        </w:tabs>
        <w:ind w:left="2160" w:hanging="360"/>
      </w:pPr>
      <w:rPr>
        <w:rFonts w:ascii="Courier New" w:hAnsi="Courier New" w:hint="default"/>
      </w:rPr>
    </w:lvl>
    <w:lvl w:ilvl="3" w:tplc="AE32258C" w:tentative="1">
      <w:start w:val="1"/>
      <w:numFmt w:val="bullet"/>
      <w:lvlText w:val="o"/>
      <w:lvlJc w:val="left"/>
      <w:pPr>
        <w:tabs>
          <w:tab w:val="num" w:pos="2880"/>
        </w:tabs>
        <w:ind w:left="2880" w:hanging="360"/>
      </w:pPr>
      <w:rPr>
        <w:rFonts w:ascii="Courier New" w:hAnsi="Courier New" w:hint="default"/>
      </w:rPr>
    </w:lvl>
    <w:lvl w:ilvl="4" w:tplc="CF4072C6" w:tentative="1">
      <w:start w:val="1"/>
      <w:numFmt w:val="bullet"/>
      <w:lvlText w:val="o"/>
      <w:lvlJc w:val="left"/>
      <w:pPr>
        <w:tabs>
          <w:tab w:val="num" w:pos="3600"/>
        </w:tabs>
        <w:ind w:left="3600" w:hanging="360"/>
      </w:pPr>
      <w:rPr>
        <w:rFonts w:ascii="Courier New" w:hAnsi="Courier New" w:hint="default"/>
      </w:rPr>
    </w:lvl>
    <w:lvl w:ilvl="5" w:tplc="8ADC8B40" w:tentative="1">
      <w:start w:val="1"/>
      <w:numFmt w:val="bullet"/>
      <w:lvlText w:val="o"/>
      <w:lvlJc w:val="left"/>
      <w:pPr>
        <w:tabs>
          <w:tab w:val="num" w:pos="4320"/>
        </w:tabs>
        <w:ind w:left="4320" w:hanging="360"/>
      </w:pPr>
      <w:rPr>
        <w:rFonts w:ascii="Courier New" w:hAnsi="Courier New" w:hint="default"/>
      </w:rPr>
    </w:lvl>
    <w:lvl w:ilvl="6" w:tplc="9550C37A" w:tentative="1">
      <w:start w:val="1"/>
      <w:numFmt w:val="bullet"/>
      <w:lvlText w:val="o"/>
      <w:lvlJc w:val="left"/>
      <w:pPr>
        <w:tabs>
          <w:tab w:val="num" w:pos="5040"/>
        </w:tabs>
        <w:ind w:left="5040" w:hanging="360"/>
      </w:pPr>
      <w:rPr>
        <w:rFonts w:ascii="Courier New" w:hAnsi="Courier New" w:hint="default"/>
      </w:rPr>
    </w:lvl>
    <w:lvl w:ilvl="7" w:tplc="9B80048C" w:tentative="1">
      <w:start w:val="1"/>
      <w:numFmt w:val="bullet"/>
      <w:lvlText w:val="o"/>
      <w:lvlJc w:val="left"/>
      <w:pPr>
        <w:tabs>
          <w:tab w:val="num" w:pos="5760"/>
        </w:tabs>
        <w:ind w:left="5760" w:hanging="360"/>
      </w:pPr>
      <w:rPr>
        <w:rFonts w:ascii="Courier New" w:hAnsi="Courier New" w:hint="default"/>
      </w:rPr>
    </w:lvl>
    <w:lvl w:ilvl="8" w:tplc="B74A0E0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2385060"/>
    <w:multiLevelType w:val="hybridMultilevel"/>
    <w:tmpl w:val="8C0E8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76220"/>
    <w:multiLevelType w:val="hybridMultilevel"/>
    <w:tmpl w:val="48007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81538"/>
    <w:multiLevelType w:val="hybridMultilevel"/>
    <w:tmpl w:val="6A8E6A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621C5"/>
    <w:multiLevelType w:val="hybridMultilevel"/>
    <w:tmpl w:val="EAEAD232"/>
    <w:lvl w:ilvl="0" w:tplc="575CCC66">
      <w:start w:val="1"/>
      <w:numFmt w:val="decimal"/>
      <w:lvlText w:val="%1."/>
      <w:lvlJc w:val="left"/>
      <w:pPr>
        <w:tabs>
          <w:tab w:val="num" w:pos="533"/>
        </w:tabs>
        <w:ind w:left="533" w:hanging="360"/>
      </w:pPr>
    </w:lvl>
    <w:lvl w:ilvl="1" w:tplc="DC24CBFA" w:tentative="1">
      <w:start w:val="1"/>
      <w:numFmt w:val="decimal"/>
      <w:lvlText w:val="%2."/>
      <w:lvlJc w:val="left"/>
      <w:pPr>
        <w:tabs>
          <w:tab w:val="num" w:pos="1253"/>
        </w:tabs>
        <w:ind w:left="1253" w:hanging="360"/>
      </w:pPr>
    </w:lvl>
    <w:lvl w:ilvl="2" w:tplc="D45688B4" w:tentative="1">
      <w:start w:val="1"/>
      <w:numFmt w:val="decimal"/>
      <w:lvlText w:val="%3."/>
      <w:lvlJc w:val="left"/>
      <w:pPr>
        <w:tabs>
          <w:tab w:val="num" w:pos="1973"/>
        </w:tabs>
        <w:ind w:left="1973" w:hanging="360"/>
      </w:pPr>
    </w:lvl>
    <w:lvl w:ilvl="3" w:tplc="E5C2F448" w:tentative="1">
      <w:start w:val="1"/>
      <w:numFmt w:val="decimal"/>
      <w:lvlText w:val="%4."/>
      <w:lvlJc w:val="left"/>
      <w:pPr>
        <w:tabs>
          <w:tab w:val="num" w:pos="2693"/>
        </w:tabs>
        <w:ind w:left="2693" w:hanging="360"/>
      </w:pPr>
    </w:lvl>
    <w:lvl w:ilvl="4" w:tplc="0A666AA0" w:tentative="1">
      <w:start w:val="1"/>
      <w:numFmt w:val="decimal"/>
      <w:lvlText w:val="%5."/>
      <w:lvlJc w:val="left"/>
      <w:pPr>
        <w:tabs>
          <w:tab w:val="num" w:pos="3413"/>
        </w:tabs>
        <w:ind w:left="3413" w:hanging="360"/>
      </w:pPr>
    </w:lvl>
    <w:lvl w:ilvl="5" w:tplc="DC3C78B8" w:tentative="1">
      <w:start w:val="1"/>
      <w:numFmt w:val="decimal"/>
      <w:lvlText w:val="%6."/>
      <w:lvlJc w:val="left"/>
      <w:pPr>
        <w:tabs>
          <w:tab w:val="num" w:pos="4133"/>
        </w:tabs>
        <w:ind w:left="4133" w:hanging="360"/>
      </w:pPr>
    </w:lvl>
    <w:lvl w:ilvl="6" w:tplc="C5AA8E14" w:tentative="1">
      <w:start w:val="1"/>
      <w:numFmt w:val="decimal"/>
      <w:lvlText w:val="%7."/>
      <w:lvlJc w:val="left"/>
      <w:pPr>
        <w:tabs>
          <w:tab w:val="num" w:pos="4853"/>
        </w:tabs>
        <w:ind w:left="4853" w:hanging="360"/>
      </w:pPr>
    </w:lvl>
    <w:lvl w:ilvl="7" w:tplc="327A02FE" w:tentative="1">
      <w:start w:val="1"/>
      <w:numFmt w:val="decimal"/>
      <w:lvlText w:val="%8."/>
      <w:lvlJc w:val="left"/>
      <w:pPr>
        <w:tabs>
          <w:tab w:val="num" w:pos="5573"/>
        </w:tabs>
        <w:ind w:left="5573" w:hanging="360"/>
      </w:pPr>
    </w:lvl>
    <w:lvl w:ilvl="8" w:tplc="316A05E8" w:tentative="1">
      <w:start w:val="1"/>
      <w:numFmt w:val="decimal"/>
      <w:lvlText w:val="%9."/>
      <w:lvlJc w:val="left"/>
      <w:pPr>
        <w:tabs>
          <w:tab w:val="num" w:pos="6293"/>
        </w:tabs>
        <w:ind w:left="6293" w:hanging="360"/>
      </w:pPr>
    </w:lvl>
  </w:abstractNum>
  <w:abstractNum w:abstractNumId="21" w15:restartNumberingAfterBreak="0">
    <w:nsid w:val="73182E40"/>
    <w:multiLevelType w:val="hybridMultilevel"/>
    <w:tmpl w:val="44F8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4"/>
  </w:num>
  <w:num w:numId="4">
    <w:abstractNumId w:val="1"/>
  </w:num>
  <w:num w:numId="5">
    <w:abstractNumId w:val="6"/>
  </w:num>
  <w:num w:numId="6">
    <w:abstractNumId w:val="9"/>
  </w:num>
  <w:num w:numId="7">
    <w:abstractNumId w:val="2"/>
  </w:num>
  <w:num w:numId="8">
    <w:abstractNumId w:val="8"/>
  </w:num>
  <w:num w:numId="9">
    <w:abstractNumId w:val="11"/>
  </w:num>
  <w:num w:numId="10">
    <w:abstractNumId w:val="20"/>
  </w:num>
  <w:num w:numId="11">
    <w:abstractNumId w:val="10"/>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18"/>
  </w:num>
  <w:num w:numId="17">
    <w:abstractNumId w:val="7"/>
  </w:num>
  <w:num w:numId="18">
    <w:abstractNumId w:val="15"/>
  </w:num>
  <w:num w:numId="19">
    <w:abstractNumId w:val="4"/>
  </w:num>
  <w:num w:numId="20">
    <w:abstractNumId w:val="5"/>
  </w:num>
  <w:num w:numId="21">
    <w:abstractNumId w:val="13"/>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0A"/>
    <w:rsid w:val="00002813"/>
    <w:rsid w:val="00003E81"/>
    <w:rsid w:val="0000522A"/>
    <w:rsid w:val="00006207"/>
    <w:rsid w:val="0000733C"/>
    <w:rsid w:val="00007C4B"/>
    <w:rsid w:val="0001113B"/>
    <w:rsid w:val="00011F4E"/>
    <w:rsid w:val="0001218D"/>
    <w:rsid w:val="00013784"/>
    <w:rsid w:val="00013E20"/>
    <w:rsid w:val="000216DA"/>
    <w:rsid w:val="0002364C"/>
    <w:rsid w:val="00026D05"/>
    <w:rsid w:val="00035350"/>
    <w:rsid w:val="000362D9"/>
    <w:rsid w:val="000438C4"/>
    <w:rsid w:val="00051663"/>
    <w:rsid w:val="0006195F"/>
    <w:rsid w:val="000635DB"/>
    <w:rsid w:val="00063E2B"/>
    <w:rsid w:val="000673B5"/>
    <w:rsid w:val="00067F48"/>
    <w:rsid w:val="00070801"/>
    <w:rsid w:val="00071E28"/>
    <w:rsid w:val="0007438D"/>
    <w:rsid w:val="0007784B"/>
    <w:rsid w:val="000848EC"/>
    <w:rsid w:val="00084E42"/>
    <w:rsid w:val="00085543"/>
    <w:rsid w:val="0008638D"/>
    <w:rsid w:val="00086F00"/>
    <w:rsid w:val="00095FD0"/>
    <w:rsid w:val="0009762E"/>
    <w:rsid w:val="000A3ACA"/>
    <w:rsid w:val="000B20E5"/>
    <w:rsid w:val="000B36E4"/>
    <w:rsid w:val="000B3797"/>
    <w:rsid w:val="000B5015"/>
    <w:rsid w:val="000B74FD"/>
    <w:rsid w:val="000C0FAC"/>
    <w:rsid w:val="000C1552"/>
    <w:rsid w:val="000C7634"/>
    <w:rsid w:val="000D67B8"/>
    <w:rsid w:val="000E52D7"/>
    <w:rsid w:val="000E54E9"/>
    <w:rsid w:val="000E65A2"/>
    <w:rsid w:val="000E75B0"/>
    <w:rsid w:val="000F017F"/>
    <w:rsid w:val="000F1B76"/>
    <w:rsid w:val="00105250"/>
    <w:rsid w:val="00107605"/>
    <w:rsid w:val="00110C08"/>
    <w:rsid w:val="00115DED"/>
    <w:rsid w:val="00116893"/>
    <w:rsid w:val="0012017B"/>
    <w:rsid w:val="00120EB0"/>
    <w:rsid w:val="00122D8B"/>
    <w:rsid w:val="001306AA"/>
    <w:rsid w:val="0013261E"/>
    <w:rsid w:val="00133032"/>
    <w:rsid w:val="00136521"/>
    <w:rsid w:val="001405A4"/>
    <w:rsid w:val="0014247D"/>
    <w:rsid w:val="00143CAE"/>
    <w:rsid w:val="0014638E"/>
    <w:rsid w:val="00147B57"/>
    <w:rsid w:val="00152653"/>
    <w:rsid w:val="001579F7"/>
    <w:rsid w:val="00160D39"/>
    <w:rsid w:val="001636FD"/>
    <w:rsid w:val="00164E90"/>
    <w:rsid w:val="00170F1F"/>
    <w:rsid w:val="001722EA"/>
    <w:rsid w:val="001824FD"/>
    <w:rsid w:val="00183738"/>
    <w:rsid w:val="00183C2F"/>
    <w:rsid w:val="00183C6A"/>
    <w:rsid w:val="00184813"/>
    <w:rsid w:val="00194918"/>
    <w:rsid w:val="00195801"/>
    <w:rsid w:val="0019605F"/>
    <w:rsid w:val="001A0F28"/>
    <w:rsid w:val="001A4F5C"/>
    <w:rsid w:val="001A518A"/>
    <w:rsid w:val="001A5D23"/>
    <w:rsid w:val="001B0767"/>
    <w:rsid w:val="001B3FA0"/>
    <w:rsid w:val="001B6CB4"/>
    <w:rsid w:val="001C0874"/>
    <w:rsid w:val="001C4983"/>
    <w:rsid w:val="001C7CCA"/>
    <w:rsid w:val="001D531E"/>
    <w:rsid w:val="001D70CB"/>
    <w:rsid w:val="001E04FD"/>
    <w:rsid w:val="001E422F"/>
    <w:rsid w:val="001E7282"/>
    <w:rsid w:val="001E7F8B"/>
    <w:rsid w:val="001F296B"/>
    <w:rsid w:val="001F5E5E"/>
    <w:rsid w:val="002029FD"/>
    <w:rsid w:val="002036E3"/>
    <w:rsid w:val="002104AF"/>
    <w:rsid w:val="002334EA"/>
    <w:rsid w:val="00242792"/>
    <w:rsid w:val="00243002"/>
    <w:rsid w:val="00246918"/>
    <w:rsid w:val="0025269E"/>
    <w:rsid w:val="00254763"/>
    <w:rsid w:val="00260F06"/>
    <w:rsid w:val="00263619"/>
    <w:rsid w:val="00280FB6"/>
    <w:rsid w:val="00282EA2"/>
    <w:rsid w:val="00285255"/>
    <w:rsid w:val="00285375"/>
    <w:rsid w:val="002869CE"/>
    <w:rsid w:val="00287986"/>
    <w:rsid w:val="00290F96"/>
    <w:rsid w:val="002A25AD"/>
    <w:rsid w:val="002B0976"/>
    <w:rsid w:val="002B59FC"/>
    <w:rsid w:val="002B70FC"/>
    <w:rsid w:val="002C2C48"/>
    <w:rsid w:val="002C31F1"/>
    <w:rsid w:val="002C542A"/>
    <w:rsid w:val="002C5CE5"/>
    <w:rsid w:val="002D0D8E"/>
    <w:rsid w:val="002D2E94"/>
    <w:rsid w:val="002D4C1A"/>
    <w:rsid w:val="002D69E7"/>
    <w:rsid w:val="002E0702"/>
    <w:rsid w:val="002E504D"/>
    <w:rsid w:val="002E6F71"/>
    <w:rsid w:val="002F0744"/>
    <w:rsid w:val="002F5264"/>
    <w:rsid w:val="003020EC"/>
    <w:rsid w:val="003039AD"/>
    <w:rsid w:val="00303A4D"/>
    <w:rsid w:val="00310393"/>
    <w:rsid w:val="00311CF7"/>
    <w:rsid w:val="003121DC"/>
    <w:rsid w:val="00316314"/>
    <w:rsid w:val="00322D19"/>
    <w:rsid w:val="00324F9B"/>
    <w:rsid w:val="003266DF"/>
    <w:rsid w:val="00330A3E"/>
    <w:rsid w:val="003371AD"/>
    <w:rsid w:val="00341BE6"/>
    <w:rsid w:val="00344A27"/>
    <w:rsid w:val="00344C8F"/>
    <w:rsid w:val="00345761"/>
    <w:rsid w:val="00346C2B"/>
    <w:rsid w:val="00350446"/>
    <w:rsid w:val="00354022"/>
    <w:rsid w:val="00355F49"/>
    <w:rsid w:val="00363C88"/>
    <w:rsid w:val="003642C7"/>
    <w:rsid w:val="00364732"/>
    <w:rsid w:val="003706DB"/>
    <w:rsid w:val="00372BDC"/>
    <w:rsid w:val="00372DF4"/>
    <w:rsid w:val="00374599"/>
    <w:rsid w:val="0037750D"/>
    <w:rsid w:val="00377700"/>
    <w:rsid w:val="0038005C"/>
    <w:rsid w:val="00380190"/>
    <w:rsid w:val="00381049"/>
    <w:rsid w:val="003822BA"/>
    <w:rsid w:val="00384F88"/>
    <w:rsid w:val="00386307"/>
    <w:rsid w:val="00390D79"/>
    <w:rsid w:val="00391216"/>
    <w:rsid w:val="003926FF"/>
    <w:rsid w:val="0039289A"/>
    <w:rsid w:val="00392D9A"/>
    <w:rsid w:val="0039387D"/>
    <w:rsid w:val="003944BA"/>
    <w:rsid w:val="0039764D"/>
    <w:rsid w:val="003A160E"/>
    <w:rsid w:val="003A26FC"/>
    <w:rsid w:val="003A3725"/>
    <w:rsid w:val="003B1363"/>
    <w:rsid w:val="003B72F3"/>
    <w:rsid w:val="003C1135"/>
    <w:rsid w:val="003C13AE"/>
    <w:rsid w:val="003C1BBD"/>
    <w:rsid w:val="003C32E8"/>
    <w:rsid w:val="003C3421"/>
    <w:rsid w:val="003C66A6"/>
    <w:rsid w:val="003C75C7"/>
    <w:rsid w:val="003D05A9"/>
    <w:rsid w:val="003D06EE"/>
    <w:rsid w:val="003D1ABE"/>
    <w:rsid w:val="003D2599"/>
    <w:rsid w:val="003D318F"/>
    <w:rsid w:val="003D3DC1"/>
    <w:rsid w:val="003D3ECE"/>
    <w:rsid w:val="003D4675"/>
    <w:rsid w:val="003D4972"/>
    <w:rsid w:val="003D4994"/>
    <w:rsid w:val="003E0E91"/>
    <w:rsid w:val="003E11F4"/>
    <w:rsid w:val="003E45FA"/>
    <w:rsid w:val="003E711F"/>
    <w:rsid w:val="003F0A40"/>
    <w:rsid w:val="003F268C"/>
    <w:rsid w:val="003F2B0D"/>
    <w:rsid w:val="003F53BE"/>
    <w:rsid w:val="003F5914"/>
    <w:rsid w:val="003F5F94"/>
    <w:rsid w:val="00402E84"/>
    <w:rsid w:val="0041066A"/>
    <w:rsid w:val="004106A1"/>
    <w:rsid w:val="004138BD"/>
    <w:rsid w:val="00413E3A"/>
    <w:rsid w:val="00414042"/>
    <w:rsid w:val="0041722C"/>
    <w:rsid w:val="00423A4C"/>
    <w:rsid w:val="004270BD"/>
    <w:rsid w:val="00427650"/>
    <w:rsid w:val="00431999"/>
    <w:rsid w:val="004334A3"/>
    <w:rsid w:val="004356E2"/>
    <w:rsid w:val="00436539"/>
    <w:rsid w:val="00437A7F"/>
    <w:rsid w:val="00437E8E"/>
    <w:rsid w:val="00440B0F"/>
    <w:rsid w:val="00441436"/>
    <w:rsid w:val="004451D9"/>
    <w:rsid w:val="00445A25"/>
    <w:rsid w:val="00445DD9"/>
    <w:rsid w:val="004548DA"/>
    <w:rsid w:val="004567CA"/>
    <w:rsid w:val="0046264A"/>
    <w:rsid w:val="004638FC"/>
    <w:rsid w:val="00466018"/>
    <w:rsid w:val="00471E8B"/>
    <w:rsid w:val="00473115"/>
    <w:rsid w:val="00477391"/>
    <w:rsid w:val="00477B67"/>
    <w:rsid w:val="0048273C"/>
    <w:rsid w:val="0048629A"/>
    <w:rsid w:val="00492C95"/>
    <w:rsid w:val="00496907"/>
    <w:rsid w:val="004A449B"/>
    <w:rsid w:val="004A4DA7"/>
    <w:rsid w:val="004A53E8"/>
    <w:rsid w:val="004A54F9"/>
    <w:rsid w:val="004A59F5"/>
    <w:rsid w:val="004A6956"/>
    <w:rsid w:val="004B25B7"/>
    <w:rsid w:val="004B444F"/>
    <w:rsid w:val="004C0724"/>
    <w:rsid w:val="004C1A13"/>
    <w:rsid w:val="004D4623"/>
    <w:rsid w:val="004D560D"/>
    <w:rsid w:val="004E2CD0"/>
    <w:rsid w:val="004E5DCF"/>
    <w:rsid w:val="004F4E95"/>
    <w:rsid w:val="004F5854"/>
    <w:rsid w:val="004F7A4E"/>
    <w:rsid w:val="005041DB"/>
    <w:rsid w:val="0050778C"/>
    <w:rsid w:val="00512E5A"/>
    <w:rsid w:val="00514BC8"/>
    <w:rsid w:val="00516922"/>
    <w:rsid w:val="00524D01"/>
    <w:rsid w:val="005259B0"/>
    <w:rsid w:val="00525E93"/>
    <w:rsid w:val="005325BF"/>
    <w:rsid w:val="00532F08"/>
    <w:rsid w:val="005365F8"/>
    <w:rsid w:val="00536B0E"/>
    <w:rsid w:val="00537018"/>
    <w:rsid w:val="005402E4"/>
    <w:rsid w:val="00540857"/>
    <w:rsid w:val="00540E44"/>
    <w:rsid w:val="00540EBF"/>
    <w:rsid w:val="00554B48"/>
    <w:rsid w:val="005659DE"/>
    <w:rsid w:val="00570CE7"/>
    <w:rsid w:val="005737E8"/>
    <w:rsid w:val="00574ABB"/>
    <w:rsid w:val="00575879"/>
    <w:rsid w:val="0058097A"/>
    <w:rsid w:val="005827AE"/>
    <w:rsid w:val="00586367"/>
    <w:rsid w:val="0058654F"/>
    <w:rsid w:val="0059098C"/>
    <w:rsid w:val="0059583F"/>
    <w:rsid w:val="00595E34"/>
    <w:rsid w:val="005973F6"/>
    <w:rsid w:val="005A1F8D"/>
    <w:rsid w:val="005A245B"/>
    <w:rsid w:val="005A5855"/>
    <w:rsid w:val="005A766E"/>
    <w:rsid w:val="005B0198"/>
    <w:rsid w:val="005B51BE"/>
    <w:rsid w:val="005C028C"/>
    <w:rsid w:val="005C05B6"/>
    <w:rsid w:val="005C1855"/>
    <w:rsid w:val="005C3165"/>
    <w:rsid w:val="005C55C5"/>
    <w:rsid w:val="005D30F6"/>
    <w:rsid w:val="005D5A14"/>
    <w:rsid w:val="005D70C9"/>
    <w:rsid w:val="005D7317"/>
    <w:rsid w:val="005E3C01"/>
    <w:rsid w:val="005E6CF7"/>
    <w:rsid w:val="005F0A71"/>
    <w:rsid w:val="005F2439"/>
    <w:rsid w:val="00607BD2"/>
    <w:rsid w:val="00612AA9"/>
    <w:rsid w:val="00613570"/>
    <w:rsid w:val="00614568"/>
    <w:rsid w:val="0061478D"/>
    <w:rsid w:val="00621F26"/>
    <w:rsid w:val="006271F4"/>
    <w:rsid w:val="00627223"/>
    <w:rsid w:val="00631281"/>
    <w:rsid w:val="00631FD8"/>
    <w:rsid w:val="006325D5"/>
    <w:rsid w:val="0063271D"/>
    <w:rsid w:val="00632A9C"/>
    <w:rsid w:val="00646C28"/>
    <w:rsid w:val="00657F78"/>
    <w:rsid w:val="006648DF"/>
    <w:rsid w:val="006661D8"/>
    <w:rsid w:val="0067259E"/>
    <w:rsid w:val="00680FC4"/>
    <w:rsid w:val="00682486"/>
    <w:rsid w:val="006861CB"/>
    <w:rsid w:val="006901AC"/>
    <w:rsid w:val="00691EC1"/>
    <w:rsid w:val="0069311C"/>
    <w:rsid w:val="006944A1"/>
    <w:rsid w:val="00697956"/>
    <w:rsid w:val="006A1290"/>
    <w:rsid w:val="006A25E8"/>
    <w:rsid w:val="006A2637"/>
    <w:rsid w:val="006A37D0"/>
    <w:rsid w:val="006A4A6B"/>
    <w:rsid w:val="006A7A22"/>
    <w:rsid w:val="006B1E20"/>
    <w:rsid w:val="006B4EB7"/>
    <w:rsid w:val="006B5328"/>
    <w:rsid w:val="006B54DC"/>
    <w:rsid w:val="006B59FE"/>
    <w:rsid w:val="006B6265"/>
    <w:rsid w:val="006C0EA4"/>
    <w:rsid w:val="006C503D"/>
    <w:rsid w:val="006E02BC"/>
    <w:rsid w:val="006E0BA3"/>
    <w:rsid w:val="006E1342"/>
    <w:rsid w:val="006E1BDC"/>
    <w:rsid w:val="006E43D1"/>
    <w:rsid w:val="006E59B8"/>
    <w:rsid w:val="006F236D"/>
    <w:rsid w:val="006F2F7A"/>
    <w:rsid w:val="006F3A53"/>
    <w:rsid w:val="00705282"/>
    <w:rsid w:val="00706D7E"/>
    <w:rsid w:val="00706EEF"/>
    <w:rsid w:val="00707137"/>
    <w:rsid w:val="0071143B"/>
    <w:rsid w:val="007163A8"/>
    <w:rsid w:val="00724F79"/>
    <w:rsid w:val="00725652"/>
    <w:rsid w:val="00725857"/>
    <w:rsid w:val="00726739"/>
    <w:rsid w:val="007270AC"/>
    <w:rsid w:val="00731760"/>
    <w:rsid w:val="007325E4"/>
    <w:rsid w:val="00734E74"/>
    <w:rsid w:val="0073704A"/>
    <w:rsid w:val="00742D8B"/>
    <w:rsid w:val="007504BF"/>
    <w:rsid w:val="00754E03"/>
    <w:rsid w:val="0075528B"/>
    <w:rsid w:val="007560AA"/>
    <w:rsid w:val="00757535"/>
    <w:rsid w:val="0075774E"/>
    <w:rsid w:val="007608A5"/>
    <w:rsid w:val="007627D3"/>
    <w:rsid w:val="00764BBF"/>
    <w:rsid w:val="007718A4"/>
    <w:rsid w:val="00774075"/>
    <w:rsid w:val="0078260F"/>
    <w:rsid w:val="00783292"/>
    <w:rsid w:val="00783458"/>
    <w:rsid w:val="007849F0"/>
    <w:rsid w:val="0079023B"/>
    <w:rsid w:val="0079350F"/>
    <w:rsid w:val="007939FF"/>
    <w:rsid w:val="007972F2"/>
    <w:rsid w:val="007A02CF"/>
    <w:rsid w:val="007A0CD9"/>
    <w:rsid w:val="007A44DC"/>
    <w:rsid w:val="007A4C99"/>
    <w:rsid w:val="007A510E"/>
    <w:rsid w:val="007B48F8"/>
    <w:rsid w:val="007B7108"/>
    <w:rsid w:val="007C275D"/>
    <w:rsid w:val="007C315F"/>
    <w:rsid w:val="007C45E0"/>
    <w:rsid w:val="007D3BAC"/>
    <w:rsid w:val="007D7C1D"/>
    <w:rsid w:val="007E2626"/>
    <w:rsid w:val="007E3632"/>
    <w:rsid w:val="007E57A4"/>
    <w:rsid w:val="007E5F4D"/>
    <w:rsid w:val="007E62AF"/>
    <w:rsid w:val="007E7D4C"/>
    <w:rsid w:val="007F07E4"/>
    <w:rsid w:val="007F1B0F"/>
    <w:rsid w:val="007F2A73"/>
    <w:rsid w:val="007F637B"/>
    <w:rsid w:val="00800761"/>
    <w:rsid w:val="0080087E"/>
    <w:rsid w:val="008050E4"/>
    <w:rsid w:val="00815880"/>
    <w:rsid w:val="008208FA"/>
    <w:rsid w:val="00822353"/>
    <w:rsid w:val="00823424"/>
    <w:rsid w:val="00824322"/>
    <w:rsid w:val="008265FC"/>
    <w:rsid w:val="00837C26"/>
    <w:rsid w:val="00852785"/>
    <w:rsid w:val="00852C40"/>
    <w:rsid w:val="008545BA"/>
    <w:rsid w:val="008555C2"/>
    <w:rsid w:val="00855C8D"/>
    <w:rsid w:val="008574D1"/>
    <w:rsid w:val="00870C0C"/>
    <w:rsid w:val="00871622"/>
    <w:rsid w:val="00871820"/>
    <w:rsid w:val="008728B9"/>
    <w:rsid w:val="00875AD2"/>
    <w:rsid w:val="008802EB"/>
    <w:rsid w:val="0088203A"/>
    <w:rsid w:val="00885FEA"/>
    <w:rsid w:val="008861DF"/>
    <w:rsid w:val="00890037"/>
    <w:rsid w:val="00894FA1"/>
    <w:rsid w:val="00896686"/>
    <w:rsid w:val="00897DDA"/>
    <w:rsid w:val="008A082D"/>
    <w:rsid w:val="008A2035"/>
    <w:rsid w:val="008A57D6"/>
    <w:rsid w:val="008A713D"/>
    <w:rsid w:val="008A7A0F"/>
    <w:rsid w:val="008A7E69"/>
    <w:rsid w:val="008B594A"/>
    <w:rsid w:val="008B7248"/>
    <w:rsid w:val="008C2F0C"/>
    <w:rsid w:val="008C606D"/>
    <w:rsid w:val="008C60EE"/>
    <w:rsid w:val="008C6594"/>
    <w:rsid w:val="008D5868"/>
    <w:rsid w:val="008D7007"/>
    <w:rsid w:val="008E3457"/>
    <w:rsid w:val="008E37A4"/>
    <w:rsid w:val="008E75C5"/>
    <w:rsid w:val="008E7D97"/>
    <w:rsid w:val="008F472B"/>
    <w:rsid w:val="00900DCF"/>
    <w:rsid w:val="00907695"/>
    <w:rsid w:val="00910BC3"/>
    <w:rsid w:val="0091292C"/>
    <w:rsid w:val="00914B45"/>
    <w:rsid w:val="00923CF0"/>
    <w:rsid w:val="009258AE"/>
    <w:rsid w:val="009260AE"/>
    <w:rsid w:val="00926758"/>
    <w:rsid w:val="00926B34"/>
    <w:rsid w:val="00930D93"/>
    <w:rsid w:val="00930DA6"/>
    <w:rsid w:val="00932200"/>
    <w:rsid w:val="0093477E"/>
    <w:rsid w:val="0093480E"/>
    <w:rsid w:val="00935FB3"/>
    <w:rsid w:val="00942658"/>
    <w:rsid w:val="00942DCF"/>
    <w:rsid w:val="0094791C"/>
    <w:rsid w:val="00952190"/>
    <w:rsid w:val="00952B45"/>
    <w:rsid w:val="009542BE"/>
    <w:rsid w:val="00956815"/>
    <w:rsid w:val="00960192"/>
    <w:rsid w:val="00960FEC"/>
    <w:rsid w:val="009642C4"/>
    <w:rsid w:val="00967C4F"/>
    <w:rsid w:val="00971655"/>
    <w:rsid w:val="00973B63"/>
    <w:rsid w:val="00973F6A"/>
    <w:rsid w:val="0097592F"/>
    <w:rsid w:val="00976C3F"/>
    <w:rsid w:val="009772A6"/>
    <w:rsid w:val="009801CB"/>
    <w:rsid w:val="0098083B"/>
    <w:rsid w:val="0098242F"/>
    <w:rsid w:val="0098362D"/>
    <w:rsid w:val="0098414D"/>
    <w:rsid w:val="009869AC"/>
    <w:rsid w:val="009870CA"/>
    <w:rsid w:val="009870DD"/>
    <w:rsid w:val="00992CD7"/>
    <w:rsid w:val="00993C1B"/>
    <w:rsid w:val="009951FF"/>
    <w:rsid w:val="009A1E33"/>
    <w:rsid w:val="009A384E"/>
    <w:rsid w:val="009B1CE4"/>
    <w:rsid w:val="009B6228"/>
    <w:rsid w:val="009B6CDF"/>
    <w:rsid w:val="009C135E"/>
    <w:rsid w:val="009C5C82"/>
    <w:rsid w:val="009C5EDF"/>
    <w:rsid w:val="009C636B"/>
    <w:rsid w:val="009C6E74"/>
    <w:rsid w:val="009C76DA"/>
    <w:rsid w:val="009D0153"/>
    <w:rsid w:val="009D0A62"/>
    <w:rsid w:val="009D3B82"/>
    <w:rsid w:val="009D3EB6"/>
    <w:rsid w:val="009E4C21"/>
    <w:rsid w:val="009F0450"/>
    <w:rsid w:val="009F30E3"/>
    <w:rsid w:val="009F49AC"/>
    <w:rsid w:val="009F746D"/>
    <w:rsid w:val="00A00AE9"/>
    <w:rsid w:val="00A0101D"/>
    <w:rsid w:val="00A01BA4"/>
    <w:rsid w:val="00A02AA7"/>
    <w:rsid w:val="00A02E06"/>
    <w:rsid w:val="00A05E9D"/>
    <w:rsid w:val="00A17396"/>
    <w:rsid w:val="00A21406"/>
    <w:rsid w:val="00A217BB"/>
    <w:rsid w:val="00A22C57"/>
    <w:rsid w:val="00A25616"/>
    <w:rsid w:val="00A25629"/>
    <w:rsid w:val="00A2685A"/>
    <w:rsid w:val="00A27271"/>
    <w:rsid w:val="00A272AD"/>
    <w:rsid w:val="00A33B86"/>
    <w:rsid w:val="00A36C59"/>
    <w:rsid w:val="00A3765E"/>
    <w:rsid w:val="00A45437"/>
    <w:rsid w:val="00A47FC4"/>
    <w:rsid w:val="00A60B9B"/>
    <w:rsid w:val="00A7142F"/>
    <w:rsid w:val="00A71657"/>
    <w:rsid w:val="00A72997"/>
    <w:rsid w:val="00A73616"/>
    <w:rsid w:val="00A82ADD"/>
    <w:rsid w:val="00A831D7"/>
    <w:rsid w:val="00A839D0"/>
    <w:rsid w:val="00A91584"/>
    <w:rsid w:val="00A91BD7"/>
    <w:rsid w:val="00A93487"/>
    <w:rsid w:val="00AA1401"/>
    <w:rsid w:val="00AA3731"/>
    <w:rsid w:val="00AA7809"/>
    <w:rsid w:val="00AB256C"/>
    <w:rsid w:val="00AC50B4"/>
    <w:rsid w:val="00AC5792"/>
    <w:rsid w:val="00AC68C3"/>
    <w:rsid w:val="00AC7C30"/>
    <w:rsid w:val="00AC7F8B"/>
    <w:rsid w:val="00AC7FA2"/>
    <w:rsid w:val="00AD0B09"/>
    <w:rsid w:val="00AD16D3"/>
    <w:rsid w:val="00AE2111"/>
    <w:rsid w:val="00AE2A13"/>
    <w:rsid w:val="00AE4B41"/>
    <w:rsid w:val="00AF2551"/>
    <w:rsid w:val="00AF61D9"/>
    <w:rsid w:val="00B05429"/>
    <w:rsid w:val="00B06FD4"/>
    <w:rsid w:val="00B10309"/>
    <w:rsid w:val="00B11275"/>
    <w:rsid w:val="00B1180C"/>
    <w:rsid w:val="00B12398"/>
    <w:rsid w:val="00B12E81"/>
    <w:rsid w:val="00B130B7"/>
    <w:rsid w:val="00B138C1"/>
    <w:rsid w:val="00B15B0A"/>
    <w:rsid w:val="00B1620C"/>
    <w:rsid w:val="00B2015C"/>
    <w:rsid w:val="00B22C77"/>
    <w:rsid w:val="00B256A9"/>
    <w:rsid w:val="00B26FFB"/>
    <w:rsid w:val="00B33762"/>
    <w:rsid w:val="00B36A00"/>
    <w:rsid w:val="00B40602"/>
    <w:rsid w:val="00B46FBD"/>
    <w:rsid w:val="00B52AA7"/>
    <w:rsid w:val="00B560E6"/>
    <w:rsid w:val="00B61F67"/>
    <w:rsid w:val="00B62CFC"/>
    <w:rsid w:val="00B64BC9"/>
    <w:rsid w:val="00B67B18"/>
    <w:rsid w:val="00B82E29"/>
    <w:rsid w:val="00B862BF"/>
    <w:rsid w:val="00B86E9A"/>
    <w:rsid w:val="00B95D65"/>
    <w:rsid w:val="00BA04FF"/>
    <w:rsid w:val="00BB402E"/>
    <w:rsid w:val="00BC1725"/>
    <w:rsid w:val="00BC1985"/>
    <w:rsid w:val="00BC30CA"/>
    <w:rsid w:val="00BC5F61"/>
    <w:rsid w:val="00BC6989"/>
    <w:rsid w:val="00BD115A"/>
    <w:rsid w:val="00BD2637"/>
    <w:rsid w:val="00BD2D97"/>
    <w:rsid w:val="00BD5827"/>
    <w:rsid w:val="00BD7173"/>
    <w:rsid w:val="00BD724E"/>
    <w:rsid w:val="00BD73D2"/>
    <w:rsid w:val="00BD7A3E"/>
    <w:rsid w:val="00BE14C4"/>
    <w:rsid w:val="00BE1BB9"/>
    <w:rsid w:val="00BE3A60"/>
    <w:rsid w:val="00BE5A94"/>
    <w:rsid w:val="00BF0223"/>
    <w:rsid w:val="00BF3C03"/>
    <w:rsid w:val="00C02939"/>
    <w:rsid w:val="00C043B1"/>
    <w:rsid w:val="00C10368"/>
    <w:rsid w:val="00C10401"/>
    <w:rsid w:val="00C10E18"/>
    <w:rsid w:val="00C12D75"/>
    <w:rsid w:val="00C16B6A"/>
    <w:rsid w:val="00C1751A"/>
    <w:rsid w:val="00C2144F"/>
    <w:rsid w:val="00C2685C"/>
    <w:rsid w:val="00C26C9D"/>
    <w:rsid w:val="00C26FC2"/>
    <w:rsid w:val="00C27C85"/>
    <w:rsid w:val="00C30C7D"/>
    <w:rsid w:val="00C3234A"/>
    <w:rsid w:val="00C32B00"/>
    <w:rsid w:val="00C35E28"/>
    <w:rsid w:val="00C364C3"/>
    <w:rsid w:val="00C37011"/>
    <w:rsid w:val="00C3728A"/>
    <w:rsid w:val="00C379FC"/>
    <w:rsid w:val="00C46134"/>
    <w:rsid w:val="00C475BC"/>
    <w:rsid w:val="00C5644A"/>
    <w:rsid w:val="00C62C24"/>
    <w:rsid w:val="00C671AD"/>
    <w:rsid w:val="00C676AB"/>
    <w:rsid w:val="00C67F47"/>
    <w:rsid w:val="00C67FDF"/>
    <w:rsid w:val="00C70DE3"/>
    <w:rsid w:val="00C7147D"/>
    <w:rsid w:val="00C72369"/>
    <w:rsid w:val="00C73BF4"/>
    <w:rsid w:val="00C7601F"/>
    <w:rsid w:val="00C773C1"/>
    <w:rsid w:val="00C80DD3"/>
    <w:rsid w:val="00C82450"/>
    <w:rsid w:val="00C82BA6"/>
    <w:rsid w:val="00C84859"/>
    <w:rsid w:val="00C855D4"/>
    <w:rsid w:val="00C8675C"/>
    <w:rsid w:val="00C90AA1"/>
    <w:rsid w:val="00C949D3"/>
    <w:rsid w:val="00C94FAE"/>
    <w:rsid w:val="00C95873"/>
    <w:rsid w:val="00C96BC6"/>
    <w:rsid w:val="00C96DE3"/>
    <w:rsid w:val="00C9768E"/>
    <w:rsid w:val="00C97DD2"/>
    <w:rsid w:val="00CA50A7"/>
    <w:rsid w:val="00CA5306"/>
    <w:rsid w:val="00CB4900"/>
    <w:rsid w:val="00CC257A"/>
    <w:rsid w:val="00CC2F65"/>
    <w:rsid w:val="00CC5035"/>
    <w:rsid w:val="00CD09DC"/>
    <w:rsid w:val="00CD11D0"/>
    <w:rsid w:val="00CD1CE0"/>
    <w:rsid w:val="00CD1EBE"/>
    <w:rsid w:val="00CD363E"/>
    <w:rsid w:val="00CD4144"/>
    <w:rsid w:val="00CD49DB"/>
    <w:rsid w:val="00CD7CD5"/>
    <w:rsid w:val="00CE04DB"/>
    <w:rsid w:val="00CF0633"/>
    <w:rsid w:val="00CF0B95"/>
    <w:rsid w:val="00CF4CF0"/>
    <w:rsid w:val="00CF5541"/>
    <w:rsid w:val="00D04BDC"/>
    <w:rsid w:val="00D0739C"/>
    <w:rsid w:val="00D1519E"/>
    <w:rsid w:val="00D21BDE"/>
    <w:rsid w:val="00D267BA"/>
    <w:rsid w:val="00D2686F"/>
    <w:rsid w:val="00D271D3"/>
    <w:rsid w:val="00D30724"/>
    <w:rsid w:val="00D35C10"/>
    <w:rsid w:val="00D379ED"/>
    <w:rsid w:val="00D41925"/>
    <w:rsid w:val="00D4417A"/>
    <w:rsid w:val="00D45B7B"/>
    <w:rsid w:val="00D52DC9"/>
    <w:rsid w:val="00D5496C"/>
    <w:rsid w:val="00D5578A"/>
    <w:rsid w:val="00D55994"/>
    <w:rsid w:val="00D57E50"/>
    <w:rsid w:val="00D57FE7"/>
    <w:rsid w:val="00D61049"/>
    <w:rsid w:val="00D62F2B"/>
    <w:rsid w:val="00D6462F"/>
    <w:rsid w:val="00D7095E"/>
    <w:rsid w:val="00D7646C"/>
    <w:rsid w:val="00D77FAD"/>
    <w:rsid w:val="00D8087F"/>
    <w:rsid w:val="00D81E3D"/>
    <w:rsid w:val="00D83085"/>
    <w:rsid w:val="00D873A1"/>
    <w:rsid w:val="00D91EB9"/>
    <w:rsid w:val="00DA2DF7"/>
    <w:rsid w:val="00DA6200"/>
    <w:rsid w:val="00DA67B5"/>
    <w:rsid w:val="00DB2840"/>
    <w:rsid w:val="00DC1C60"/>
    <w:rsid w:val="00DC1E17"/>
    <w:rsid w:val="00DC2CA8"/>
    <w:rsid w:val="00DC5D4C"/>
    <w:rsid w:val="00DC713C"/>
    <w:rsid w:val="00DC7644"/>
    <w:rsid w:val="00DC77FF"/>
    <w:rsid w:val="00DC7E65"/>
    <w:rsid w:val="00DD003A"/>
    <w:rsid w:val="00DD0FD8"/>
    <w:rsid w:val="00DD1995"/>
    <w:rsid w:val="00DE0710"/>
    <w:rsid w:val="00DE336D"/>
    <w:rsid w:val="00DE49A2"/>
    <w:rsid w:val="00DE5B76"/>
    <w:rsid w:val="00DF3DDB"/>
    <w:rsid w:val="00DF47AB"/>
    <w:rsid w:val="00DF7E9F"/>
    <w:rsid w:val="00E01178"/>
    <w:rsid w:val="00E01972"/>
    <w:rsid w:val="00E05C63"/>
    <w:rsid w:val="00E070A7"/>
    <w:rsid w:val="00E1636C"/>
    <w:rsid w:val="00E176C9"/>
    <w:rsid w:val="00E20E57"/>
    <w:rsid w:val="00E24076"/>
    <w:rsid w:val="00E2516B"/>
    <w:rsid w:val="00E3122C"/>
    <w:rsid w:val="00E3675C"/>
    <w:rsid w:val="00E4176D"/>
    <w:rsid w:val="00E4338A"/>
    <w:rsid w:val="00E444F9"/>
    <w:rsid w:val="00E521B1"/>
    <w:rsid w:val="00E605B3"/>
    <w:rsid w:val="00E71D37"/>
    <w:rsid w:val="00E735AA"/>
    <w:rsid w:val="00E750D7"/>
    <w:rsid w:val="00E778CA"/>
    <w:rsid w:val="00E81053"/>
    <w:rsid w:val="00E82713"/>
    <w:rsid w:val="00E8322A"/>
    <w:rsid w:val="00E83F9D"/>
    <w:rsid w:val="00E843B0"/>
    <w:rsid w:val="00E84E38"/>
    <w:rsid w:val="00E90A46"/>
    <w:rsid w:val="00E92DE3"/>
    <w:rsid w:val="00E96B60"/>
    <w:rsid w:val="00E97FCB"/>
    <w:rsid w:val="00EA3672"/>
    <w:rsid w:val="00EA6DBA"/>
    <w:rsid w:val="00EB32F6"/>
    <w:rsid w:val="00EC47C8"/>
    <w:rsid w:val="00EC657A"/>
    <w:rsid w:val="00EC7994"/>
    <w:rsid w:val="00ED3586"/>
    <w:rsid w:val="00ED4381"/>
    <w:rsid w:val="00ED7EC6"/>
    <w:rsid w:val="00EE3430"/>
    <w:rsid w:val="00EF6494"/>
    <w:rsid w:val="00F02F35"/>
    <w:rsid w:val="00F04986"/>
    <w:rsid w:val="00F11660"/>
    <w:rsid w:val="00F12909"/>
    <w:rsid w:val="00F13AF3"/>
    <w:rsid w:val="00F160BE"/>
    <w:rsid w:val="00F20E2E"/>
    <w:rsid w:val="00F2514D"/>
    <w:rsid w:val="00F274CA"/>
    <w:rsid w:val="00F31CE9"/>
    <w:rsid w:val="00F33C71"/>
    <w:rsid w:val="00F346FF"/>
    <w:rsid w:val="00F36D61"/>
    <w:rsid w:val="00F42B27"/>
    <w:rsid w:val="00F45B3E"/>
    <w:rsid w:val="00F520D0"/>
    <w:rsid w:val="00F52101"/>
    <w:rsid w:val="00F535B7"/>
    <w:rsid w:val="00F60A8A"/>
    <w:rsid w:val="00F63F82"/>
    <w:rsid w:val="00F76344"/>
    <w:rsid w:val="00F86184"/>
    <w:rsid w:val="00F86CD3"/>
    <w:rsid w:val="00F8758F"/>
    <w:rsid w:val="00F91870"/>
    <w:rsid w:val="00F91DC3"/>
    <w:rsid w:val="00F92938"/>
    <w:rsid w:val="00F951E4"/>
    <w:rsid w:val="00F95B6D"/>
    <w:rsid w:val="00F9626B"/>
    <w:rsid w:val="00F96F24"/>
    <w:rsid w:val="00FA015B"/>
    <w:rsid w:val="00FA2831"/>
    <w:rsid w:val="00FA7A28"/>
    <w:rsid w:val="00FB2A23"/>
    <w:rsid w:val="00FB6CF7"/>
    <w:rsid w:val="00FB7FC7"/>
    <w:rsid w:val="00FC2619"/>
    <w:rsid w:val="00FC78C4"/>
    <w:rsid w:val="00FC7B98"/>
    <w:rsid w:val="00FD1324"/>
    <w:rsid w:val="00FD5FC2"/>
    <w:rsid w:val="00FE0A2E"/>
    <w:rsid w:val="00FE5629"/>
    <w:rsid w:val="00FE614E"/>
    <w:rsid w:val="00FF1CF8"/>
    <w:rsid w:val="00FF533F"/>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D9420C-0540-4912-AD29-209B5F94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B0A"/>
  </w:style>
  <w:style w:type="paragraph" w:styleId="Heading2">
    <w:name w:val="heading 2"/>
    <w:basedOn w:val="Normal"/>
    <w:link w:val="Heading2Char"/>
    <w:uiPriority w:val="9"/>
    <w:qFormat/>
    <w:rsid w:val="008E75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0A"/>
    <w:rPr>
      <w:rFonts w:ascii="Tahoma" w:hAnsi="Tahoma" w:cs="Tahoma"/>
      <w:sz w:val="16"/>
      <w:szCs w:val="16"/>
    </w:rPr>
  </w:style>
  <w:style w:type="paragraph" w:styleId="NormalWeb">
    <w:name w:val="Normal (Web)"/>
    <w:basedOn w:val="Normal"/>
    <w:uiPriority w:val="99"/>
    <w:unhideWhenUsed/>
    <w:rsid w:val="00B15B0A"/>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757535"/>
    <w:pPr>
      <w:spacing w:after="0" w:line="240" w:lineRule="auto"/>
    </w:pPr>
    <w:rPr>
      <w:sz w:val="20"/>
      <w:szCs w:val="20"/>
    </w:rPr>
  </w:style>
  <w:style w:type="character" w:customStyle="1" w:styleId="FootnoteTextChar">
    <w:name w:val="Footnote Text Char"/>
    <w:basedOn w:val="DefaultParagraphFont"/>
    <w:link w:val="FootnoteText"/>
    <w:uiPriority w:val="99"/>
    <w:rsid w:val="00757535"/>
    <w:rPr>
      <w:sz w:val="20"/>
      <w:szCs w:val="20"/>
    </w:rPr>
  </w:style>
  <w:style w:type="character" w:styleId="FootnoteReference">
    <w:name w:val="footnote reference"/>
    <w:basedOn w:val="DefaultParagraphFont"/>
    <w:uiPriority w:val="99"/>
    <w:semiHidden/>
    <w:unhideWhenUsed/>
    <w:rsid w:val="00757535"/>
    <w:rPr>
      <w:vertAlign w:val="superscript"/>
    </w:rPr>
  </w:style>
  <w:style w:type="character" w:styleId="CommentReference">
    <w:name w:val="annotation reference"/>
    <w:basedOn w:val="DefaultParagraphFont"/>
    <w:uiPriority w:val="99"/>
    <w:semiHidden/>
    <w:unhideWhenUsed/>
    <w:rsid w:val="00757535"/>
    <w:rPr>
      <w:sz w:val="16"/>
      <w:szCs w:val="16"/>
    </w:rPr>
  </w:style>
  <w:style w:type="paragraph" w:styleId="CommentText">
    <w:name w:val="annotation text"/>
    <w:basedOn w:val="Normal"/>
    <w:link w:val="CommentTextChar"/>
    <w:uiPriority w:val="99"/>
    <w:semiHidden/>
    <w:unhideWhenUsed/>
    <w:rsid w:val="00757535"/>
    <w:pPr>
      <w:spacing w:line="240" w:lineRule="auto"/>
    </w:pPr>
    <w:rPr>
      <w:sz w:val="20"/>
      <w:szCs w:val="20"/>
    </w:rPr>
  </w:style>
  <w:style w:type="character" w:customStyle="1" w:styleId="CommentTextChar">
    <w:name w:val="Comment Text Char"/>
    <w:basedOn w:val="DefaultParagraphFont"/>
    <w:link w:val="CommentText"/>
    <w:uiPriority w:val="99"/>
    <w:semiHidden/>
    <w:rsid w:val="00757535"/>
    <w:rPr>
      <w:sz w:val="20"/>
      <w:szCs w:val="20"/>
    </w:rPr>
  </w:style>
  <w:style w:type="paragraph" w:styleId="Subtitle">
    <w:name w:val="Subtitle"/>
    <w:basedOn w:val="Normal"/>
    <w:next w:val="Normal"/>
    <w:link w:val="SubtitleChar"/>
    <w:uiPriority w:val="11"/>
    <w:qFormat/>
    <w:rsid w:val="001636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36F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1636FD"/>
    <w:rPr>
      <w:color w:val="0000FF" w:themeColor="hyperlink"/>
      <w:u w:val="single"/>
    </w:rPr>
  </w:style>
  <w:style w:type="paragraph" w:styleId="Title">
    <w:name w:val="Title"/>
    <w:basedOn w:val="Normal"/>
    <w:next w:val="Normal"/>
    <w:link w:val="TitleChar"/>
    <w:uiPriority w:val="10"/>
    <w:qFormat/>
    <w:rsid w:val="001636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636FD"/>
    <w:rPr>
      <w:rFonts w:asciiTheme="majorHAnsi" w:eastAsiaTheme="majorEastAsia" w:hAnsiTheme="majorHAnsi" w:cstheme="majorBidi"/>
      <w:color w:val="17365D" w:themeColor="text2" w:themeShade="BF"/>
      <w:spacing w:val="5"/>
      <w:kern w:val="28"/>
      <w:sz w:val="52"/>
      <w:szCs w:val="52"/>
      <w:lang w:eastAsia="ja-JP"/>
    </w:rPr>
  </w:style>
  <w:style w:type="table" w:styleId="LightGrid-Accent6">
    <w:name w:val="Light Grid Accent 6"/>
    <w:basedOn w:val="TableNormal"/>
    <w:uiPriority w:val="62"/>
    <w:rsid w:val="001636F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ReportTitle">
    <w:name w:val="Report Title"/>
    <w:basedOn w:val="Normal"/>
    <w:next w:val="Normal"/>
    <w:uiPriority w:val="99"/>
    <w:rsid w:val="001636FD"/>
    <w:pPr>
      <w:autoSpaceDE w:val="0"/>
      <w:autoSpaceDN w:val="0"/>
      <w:adjustRightInd w:val="0"/>
      <w:spacing w:after="0" w:line="240" w:lineRule="auto"/>
    </w:pPr>
    <w:rPr>
      <w:rFonts w:ascii="Verdana" w:hAnsi="Verdana"/>
      <w:sz w:val="24"/>
      <w:szCs w:val="24"/>
    </w:rPr>
  </w:style>
  <w:style w:type="paragraph" w:customStyle="1" w:styleId="Default">
    <w:name w:val="Default"/>
    <w:rsid w:val="001636FD"/>
    <w:pPr>
      <w:autoSpaceDE w:val="0"/>
      <w:autoSpaceDN w:val="0"/>
      <w:adjustRightInd w:val="0"/>
      <w:spacing w:after="0" w:line="240" w:lineRule="auto"/>
    </w:pPr>
    <w:rPr>
      <w:rFonts w:ascii="Lucida" w:hAnsi="Lucida" w:cs="Lucida"/>
      <w:color w:val="000000"/>
      <w:sz w:val="24"/>
      <w:szCs w:val="24"/>
    </w:rPr>
  </w:style>
  <w:style w:type="paragraph" w:styleId="ListParagraph">
    <w:name w:val="List Paragraph"/>
    <w:basedOn w:val="Normal"/>
    <w:uiPriority w:val="34"/>
    <w:qFormat/>
    <w:rsid w:val="001636FD"/>
    <w:pPr>
      <w:ind w:left="720"/>
      <w:contextualSpacing/>
    </w:pPr>
  </w:style>
  <w:style w:type="character" w:styleId="FollowedHyperlink">
    <w:name w:val="FollowedHyperlink"/>
    <w:basedOn w:val="DefaultParagraphFont"/>
    <w:uiPriority w:val="99"/>
    <w:semiHidden/>
    <w:unhideWhenUsed/>
    <w:rsid w:val="00575879"/>
    <w:rPr>
      <w:color w:val="800080" w:themeColor="followedHyperlink"/>
      <w:u w:val="single"/>
    </w:rPr>
  </w:style>
  <w:style w:type="paragraph" w:styleId="NoSpacing">
    <w:name w:val="No Spacing"/>
    <w:link w:val="NoSpacingChar"/>
    <w:uiPriority w:val="1"/>
    <w:qFormat/>
    <w:rsid w:val="005C55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C55C5"/>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1F5E5E"/>
    <w:rPr>
      <w:b/>
      <w:bCs/>
    </w:rPr>
  </w:style>
  <w:style w:type="character" w:customStyle="1" w:styleId="CommentSubjectChar">
    <w:name w:val="Comment Subject Char"/>
    <w:basedOn w:val="CommentTextChar"/>
    <w:link w:val="CommentSubject"/>
    <w:uiPriority w:val="99"/>
    <w:semiHidden/>
    <w:rsid w:val="001F5E5E"/>
    <w:rPr>
      <w:b/>
      <w:bCs/>
      <w:sz w:val="20"/>
      <w:szCs w:val="20"/>
    </w:rPr>
  </w:style>
  <w:style w:type="table" w:styleId="TableGrid">
    <w:name w:val="Table Grid"/>
    <w:basedOn w:val="TableNormal"/>
    <w:uiPriority w:val="59"/>
    <w:rsid w:val="00C8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165"/>
  </w:style>
  <w:style w:type="paragraph" w:styleId="Footer">
    <w:name w:val="footer"/>
    <w:basedOn w:val="Normal"/>
    <w:link w:val="FooterChar"/>
    <w:uiPriority w:val="99"/>
    <w:unhideWhenUsed/>
    <w:rsid w:val="005C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165"/>
  </w:style>
  <w:style w:type="table" w:styleId="LightList">
    <w:name w:val="Light List"/>
    <w:basedOn w:val="TableNormal"/>
    <w:uiPriority w:val="61"/>
    <w:rsid w:val="00540E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40E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1">
    <w:name w:val="Medium Grid 1"/>
    <w:basedOn w:val="TableNormal"/>
    <w:uiPriority w:val="67"/>
    <w:rsid w:val="00540EB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st">
    <w:name w:val="st"/>
    <w:basedOn w:val="DefaultParagraphFont"/>
    <w:rsid w:val="00992CD7"/>
  </w:style>
  <w:style w:type="table" w:styleId="LightGrid-Accent2">
    <w:name w:val="Light Grid Accent 2"/>
    <w:basedOn w:val="TableNormal"/>
    <w:uiPriority w:val="62"/>
    <w:rsid w:val="0028525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basedOn w:val="DefaultParagraphFont"/>
    <w:link w:val="Heading2"/>
    <w:uiPriority w:val="9"/>
    <w:rsid w:val="008E75C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146">
      <w:bodyDiv w:val="1"/>
      <w:marLeft w:val="0"/>
      <w:marRight w:val="0"/>
      <w:marTop w:val="0"/>
      <w:marBottom w:val="0"/>
      <w:divBdr>
        <w:top w:val="none" w:sz="0" w:space="0" w:color="auto"/>
        <w:left w:val="none" w:sz="0" w:space="0" w:color="auto"/>
        <w:bottom w:val="none" w:sz="0" w:space="0" w:color="auto"/>
        <w:right w:val="none" w:sz="0" w:space="0" w:color="auto"/>
      </w:divBdr>
    </w:div>
    <w:div w:id="30809584">
      <w:bodyDiv w:val="1"/>
      <w:marLeft w:val="0"/>
      <w:marRight w:val="0"/>
      <w:marTop w:val="0"/>
      <w:marBottom w:val="0"/>
      <w:divBdr>
        <w:top w:val="none" w:sz="0" w:space="0" w:color="auto"/>
        <w:left w:val="none" w:sz="0" w:space="0" w:color="auto"/>
        <w:bottom w:val="none" w:sz="0" w:space="0" w:color="auto"/>
        <w:right w:val="none" w:sz="0" w:space="0" w:color="auto"/>
      </w:divBdr>
    </w:div>
    <w:div w:id="164176630">
      <w:bodyDiv w:val="1"/>
      <w:marLeft w:val="0"/>
      <w:marRight w:val="0"/>
      <w:marTop w:val="0"/>
      <w:marBottom w:val="0"/>
      <w:divBdr>
        <w:top w:val="none" w:sz="0" w:space="0" w:color="auto"/>
        <w:left w:val="none" w:sz="0" w:space="0" w:color="auto"/>
        <w:bottom w:val="none" w:sz="0" w:space="0" w:color="auto"/>
        <w:right w:val="none" w:sz="0" w:space="0" w:color="auto"/>
      </w:divBdr>
    </w:div>
    <w:div w:id="190342759">
      <w:bodyDiv w:val="1"/>
      <w:marLeft w:val="0"/>
      <w:marRight w:val="0"/>
      <w:marTop w:val="0"/>
      <w:marBottom w:val="0"/>
      <w:divBdr>
        <w:top w:val="none" w:sz="0" w:space="0" w:color="auto"/>
        <w:left w:val="none" w:sz="0" w:space="0" w:color="auto"/>
        <w:bottom w:val="none" w:sz="0" w:space="0" w:color="auto"/>
        <w:right w:val="none" w:sz="0" w:space="0" w:color="auto"/>
      </w:divBdr>
    </w:div>
    <w:div w:id="383451261">
      <w:bodyDiv w:val="1"/>
      <w:marLeft w:val="0"/>
      <w:marRight w:val="0"/>
      <w:marTop w:val="0"/>
      <w:marBottom w:val="0"/>
      <w:divBdr>
        <w:top w:val="none" w:sz="0" w:space="0" w:color="auto"/>
        <w:left w:val="none" w:sz="0" w:space="0" w:color="auto"/>
        <w:bottom w:val="none" w:sz="0" w:space="0" w:color="auto"/>
        <w:right w:val="none" w:sz="0" w:space="0" w:color="auto"/>
      </w:divBdr>
    </w:div>
    <w:div w:id="404838912">
      <w:bodyDiv w:val="1"/>
      <w:marLeft w:val="0"/>
      <w:marRight w:val="0"/>
      <w:marTop w:val="0"/>
      <w:marBottom w:val="0"/>
      <w:divBdr>
        <w:top w:val="none" w:sz="0" w:space="0" w:color="auto"/>
        <w:left w:val="none" w:sz="0" w:space="0" w:color="auto"/>
        <w:bottom w:val="none" w:sz="0" w:space="0" w:color="auto"/>
        <w:right w:val="none" w:sz="0" w:space="0" w:color="auto"/>
      </w:divBdr>
    </w:div>
    <w:div w:id="493299552">
      <w:bodyDiv w:val="1"/>
      <w:marLeft w:val="0"/>
      <w:marRight w:val="0"/>
      <w:marTop w:val="0"/>
      <w:marBottom w:val="0"/>
      <w:divBdr>
        <w:top w:val="none" w:sz="0" w:space="0" w:color="auto"/>
        <w:left w:val="none" w:sz="0" w:space="0" w:color="auto"/>
        <w:bottom w:val="none" w:sz="0" w:space="0" w:color="auto"/>
        <w:right w:val="none" w:sz="0" w:space="0" w:color="auto"/>
      </w:divBdr>
    </w:div>
    <w:div w:id="567770989">
      <w:bodyDiv w:val="1"/>
      <w:marLeft w:val="0"/>
      <w:marRight w:val="0"/>
      <w:marTop w:val="0"/>
      <w:marBottom w:val="0"/>
      <w:divBdr>
        <w:top w:val="none" w:sz="0" w:space="0" w:color="auto"/>
        <w:left w:val="none" w:sz="0" w:space="0" w:color="auto"/>
        <w:bottom w:val="none" w:sz="0" w:space="0" w:color="auto"/>
        <w:right w:val="none" w:sz="0" w:space="0" w:color="auto"/>
      </w:divBdr>
    </w:div>
    <w:div w:id="811556564">
      <w:bodyDiv w:val="1"/>
      <w:marLeft w:val="0"/>
      <w:marRight w:val="0"/>
      <w:marTop w:val="0"/>
      <w:marBottom w:val="0"/>
      <w:divBdr>
        <w:top w:val="none" w:sz="0" w:space="0" w:color="auto"/>
        <w:left w:val="none" w:sz="0" w:space="0" w:color="auto"/>
        <w:bottom w:val="none" w:sz="0" w:space="0" w:color="auto"/>
        <w:right w:val="none" w:sz="0" w:space="0" w:color="auto"/>
      </w:divBdr>
    </w:div>
    <w:div w:id="841822686">
      <w:bodyDiv w:val="1"/>
      <w:marLeft w:val="0"/>
      <w:marRight w:val="0"/>
      <w:marTop w:val="0"/>
      <w:marBottom w:val="0"/>
      <w:divBdr>
        <w:top w:val="none" w:sz="0" w:space="0" w:color="auto"/>
        <w:left w:val="none" w:sz="0" w:space="0" w:color="auto"/>
        <w:bottom w:val="none" w:sz="0" w:space="0" w:color="auto"/>
        <w:right w:val="none" w:sz="0" w:space="0" w:color="auto"/>
      </w:divBdr>
    </w:div>
    <w:div w:id="859857612">
      <w:bodyDiv w:val="1"/>
      <w:marLeft w:val="0"/>
      <w:marRight w:val="0"/>
      <w:marTop w:val="0"/>
      <w:marBottom w:val="0"/>
      <w:divBdr>
        <w:top w:val="none" w:sz="0" w:space="0" w:color="auto"/>
        <w:left w:val="none" w:sz="0" w:space="0" w:color="auto"/>
        <w:bottom w:val="none" w:sz="0" w:space="0" w:color="auto"/>
        <w:right w:val="none" w:sz="0" w:space="0" w:color="auto"/>
      </w:divBdr>
    </w:div>
    <w:div w:id="947464268">
      <w:bodyDiv w:val="1"/>
      <w:marLeft w:val="0"/>
      <w:marRight w:val="0"/>
      <w:marTop w:val="0"/>
      <w:marBottom w:val="0"/>
      <w:divBdr>
        <w:top w:val="none" w:sz="0" w:space="0" w:color="auto"/>
        <w:left w:val="none" w:sz="0" w:space="0" w:color="auto"/>
        <w:bottom w:val="none" w:sz="0" w:space="0" w:color="auto"/>
        <w:right w:val="none" w:sz="0" w:space="0" w:color="auto"/>
      </w:divBdr>
    </w:div>
    <w:div w:id="1100491506">
      <w:bodyDiv w:val="1"/>
      <w:marLeft w:val="0"/>
      <w:marRight w:val="0"/>
      <w:marTop w:val="0"/>
      <w:marBottom w:val="0"/>
      <w:divBdr>
        <w:top w:val="none" w:sz="0" w:space="0" w:color="auto"/>
        <w:left w:val="none" w:sz="0" w:space="0" w:color="auto"/>
        <w:bottom w:val="none" w:sz="0" w:space="0" w:color="auto"/>
        <w:right w:val="none" w:sz="0" w:space="0" w:color="auto"/>
      </w:divBdr>
    </w:div>
    <w:div w:id="1164708970">
      <w:bodyDiv w:val="1"/>
      <w:marLeft w:val="0"/>
      <w:marRight w:val="0"/>
      <w:marTop w:val="0"/>
      <w:marBottom w:val="0"/>
      <w:divBdr>
        <w:top w:val="none" w:sz="0" w:space="0" w:color="auto"/>
        <w:left w:val="none" w:sz="0" w:space="0" w:color="auto"/>
        <w:bottom w:val="none" w:sz="0" w:space="0" w:color="auto"/>
        <w:right w:val="none" w:sz="0" w:space="0" w:color="auto"/>
      </w:divBdr>
    </w:div>
    <w:div w:id="1207982282">
      <w:bodyDiv w:val="1"/>
      <w:marLeft w:val="0"/>
      <w:marRight w:val="0"/>
      <w:marTop w:val="0"/>
      <w:marBottom w:val="0"/>
      <w:divBdr>
        <w:top w:val="none" w:sz="0" w:space="0" w:color="auto"/>
        <w:left w:val="none" w:sz="0" w:space="0" w:color="auto"/>
        <w:bottom w:val="none" w:sz="0" w:space="0" w:color="auto"/>
        <w:right w:val="none" w:sz="0" w:space="0" w:color="auto"/>
      </w:divBdr>
    </w:div>
    <w:div w:id="1323124916">
      <w:bodyDiv w:val="1"/>
      <w:marLeft w:val="0"/>
      <w:marRight w:val="0"/>
      <w:marTop w:val="0"/>
      <w:marBottom w:val="0"/>
      <w:divBdr>
        <w:top w:val="none" w:sz="0" w:space="0" w:color="auto"/>
        <w:left w:val="none" w:sz="0" w:space="0" w:color="auto"/>
        <w:bottom w:val="none" w:sz="0" w:space="0" w:color="auto"/>
        <w:right w:val="none" w:sz="0" w:space="0" w:color="auto"/>
      </w:divBdr>
    </w:div>
    <w:div w:id="1340237816">
      <w:bodyDiv w:val="1"/>
      <w:marLeft w:val="0"/>
      <w:marRight w:val="0"/>
      <w:marTop w:val="0"/>
      <w:marBottom w:val="0"/>
      <w:divBdr>
        <w:top w:val="none" w:sz="0" w:space="0" w:color="auto"/>
        <w:left w:val="none" w:sz="0" w:space="0" w:color="auto"/>
        <w:bottom w:val="none" w:sz="0" w:space="0" w:color="auto"/>
        <w:right w:val="none" w:sz="0" w:space="0" w:color="auto"/>
      </w:divBdr>
    </w:div>
    <w:div w:id="1489130118">
      <w:bodyDiv w:val="1"/>
      <w:marLeft w:val="0"/>
      <w:marRight w:val="0"/>
      <w:marTop w:val="0"/>
      <w:marBottom w:val="0"/>
      <w:divBdr>
        <w:top w:val="none" w:sz="0" w:space="0" w:color="auto"/>
        <w:left w:val="none" w:sz="0" w:space="0" w:color="auto"/>
        <w:bottom w:val="none" w:sz="0" w:space="0" w:color="auto"/>
        <w:right w:val="none" w:sz="0" w:space="0" w:color="auto"/>
      </w:divBdr>
    </w:div>
    <w:div w:id="1530483270">
      <w:bodyDiv w:val="1"/>
      <w:marLeft w:val="0"/>
      <w:marRight w:val="0"/>
      <w:marTop w:val="0"/>
      <w:marBottom w:val="0"/>
      <w:divBdr>
        <w:top w:val="none" w:sz="0" w:space="0" w:color="auto"/>
        <w:left w:val="none" w:sz="0" w:space="0" w:color="auto"/>
        <w:bottom w:val="none" w:sz="0" w:space="0" w:color="auto"/>
        <w:right w:val="none" w:sz="0" w:space="0" w:color="auto"/>
      </w:divBdr>
    </w:div>
    <w:div w:id="1678574507">
      <w:bodyDiv w:val="1"/>
      <w:marLeft w:val="0"/>
      <w:marRight w:val="0"/>
      <w:marTop w:val="0"/>
      <w:marBottom w:val="0"/>
      <w:divBdr>
        <w:top w:val="none" w:sz="0" w:space="0" w:color="auto"/>
        <w:left w:val="none" w:sz="0" w:space="0" w:color="auto"/>
        <w:bottom w:val="none" w:sz="0" w:space="0" w:color="auto"/>
        <w:right w:val="none" w:sz="0" w:space="0" w:color="auto"/>
      </w:divBdr>
    </w:div>
    <w:div w:id="1711612433">
      <w:bodyDiv w:val="1"/>
      <w:marLeft w:val="0"/>
      <w:marRight w:val="0"/>
      <w:marTop w:val="0"/>
      <w:marBottom w:val="0"/>
      <w:divBdr>
        <w:top w:val="none" w:sz="0" w:space="0" w:color="auto"/>
        <w:left w:val="none" w:sz="0" w:space="0" w:color="auto"/>
        <w:bottom w:val="none" w:sz="0" w:space="0" w:color="auto"/>
        <w:right w:val="none" w:sz="0" w:space="0" w:color="auto"/>
      </w:divBdr>
    </w:div>
    <w:div w:id="1724015865">
      <w:bodyDiv w:val="1"/>
      <w:marLeft w:val="0"/>
      <w:marRight w:val="0"/>
      <w:marTop w:val="0"/>
      <w:marBottom w:val="0"/>
      <w:divBdr>
        <w:top w:val="none" w:sz="0" w:space="0" w:color="auto"/>
        <w:left w:val="none" w:sz="0" w:space="0" w:color="auto"/>
        <w:bottom w:val="none" w:sz="0" w:space="0" w:color="auto"/>
        <w:right w:val="none" w:sz="0" w:space="0" w:color="auto"/>
      </w:divBdr>
    </w:div>
    <w:div w:id="1731155499">
      <w:bodyDiv w:val="1"/>
      <w:marLeft w:val="0"/>
      <w:marRight w:val="0"/>
      <w:marTop w:val="0"/>
      <w:marBottom w:val="0"/>
      <w:divBdr>
        <w:top w:val="none" w:sz="0" w:space="0" w:color="auto"/>
        <w:left w:val="none" w:sz="0" w:space="0" w:color="auto"/>
        <w:bottom w:val="none" w:sz="0" w:space="0" w:color="auto"/>
        <w:right w:val="none" w:sz="0" w:space="0" w:color="auto"/>
      </w:divBdr>
    </w:div>
    <w:div w:id="1898396131">
      <w:bodyDiv w:val="1"/>
      <w:marLeft w:val="0"/>
      <w:marRight w:val="0"/>
      <w:marTop w:val="0"/>
      <w:marBottom w:val="0"/>
      <w:divBdr>
        <w:top w:val="none" w:sz="0" w:space="0" w:color="auto"/>
        <w:left w:val="none" w:sz="0" w:space="0" w:color="auto"/>
        <w:bottom w:val="none" w:sz="0" w:space="0" w:color="auto"/>
        <w:right w:val="none" w:sz="0" w:space="0" w:color="auto"/>
      </w:divBdr>
    </w:div>
    <w:div w:id="19656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althpolicy.ucla.edu/publications/Documents/PDF/undocumentedreport-aug201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hs.gov/xlibrary/assets/statistics/publications/ois_ill_pe_2011.pdf" TargetMode="External"/><Relationship Id="rId4" Type="http://schemas.openxmlformats.org/officeDocument/2006/relationships/styles" Target="styles.xml"/><Relationship Id="rId9" Type="http://schemas.openxmlformats.org/officeDocument/2006/relationships/hyperlink" Target="http://www.urban.org/UploadedPDF/411425_Characteristics_Immigra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4BBA7F-C971-484A-9703-F480406A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2431</Words>
  <Characters>13857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Methodology for Measuring Neighborhood Access to CalFresh</vt:lpstr>
    </vt:vector>
  </TitlesOfParts>
  <Company>June 3013</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Measuring Neighborhood Access to CalFresh</dc:title>
  <dc:subject>California Department of Social Services, Research Services Branch</dc:subject>
  <dc:creator>ISDAdmin</dc:creator>
  <cp:lastModifiedBy>Sarah Jimenez</cp:lastModifiedBy>
  <cp:revision>2</cp:revision>
  <cp:lastPrinted>2014-07-18T20:12:00Z</cp:lastPrinted>
  <dcterms:created xsi:type="dcterms:W3CDTF">2015-12-17T19:32:00Z</dcterms:created>
  <dcterms:modified xsi:type="dcterms:W3CDTF">2015-12-17T19:32:00Z</dcterms:modified>
</cp:coreProperties>
</file>